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黑体" w:hAnsi="黑体" w:eastAsia="黑体" w:cs="黑体"/>
          <w:color w:val="000000"/>
          <w:sz w:val="32"/>
          <w:szCs w:val="32"/>
        </w:rPr>
      </w:pPr>
      <w:r>
        <w:rPr>
          <w:rFonts w:hint="eastAsia" w:ascii="黑体" w:hAnsi="黑体" w:eastAsia="黑体" w:cs="黑体"/>
          <w:color w:val="000000"/>
          <w:sz w:val="32"/>
          <w:szCs w:val="32"/>
        </w:rPr>
        <w:t>附件1</w:t>
      </w:r>
    </w:p>
    <w:p>
      <w:pPr>
        <w:spacing w:line="520" w:lineRule="exact"/>
        <w:jc w:val="center"/>
        <w:rPr>
          <w:rFonts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Cs/>
          <w:color w:val="000000"/>
          <w:sz w:val="44"/>
          <w:szCs w:val="44"/>
        </w:rPr>
        <w:t>重点课题建议推荐立项名单</w:t>
      </w:r>
    </w:p>
    <w:p>
      <w:pPr>
        <w:spacing w:line="520" w:lineRule="exact"/>
        <w:jc w:val="left"/>
        <w:rPr>
          <w:rFonts w:ascii="宋体" w:hAnsi="宋体"/>
          <w:color w:val="000000"/>
          <w:sz w:val="30"/>
          <w:szCs w:val="30"/>
        </w:rPr>
      </w:pPr>
    </w:p>
    <w:p>
      <w:pPr>
        <w:spacing w:line="560" w:lineRule="exact"/>
        <w:rPr>
          <w:rFonts w:ascii="宋体" w:hAnsi="宋体"/>
          <w:color w:val="000000"/>
          <w:sz w:val="30"/>
          <w:szCs w:val="30"/>
        </w:rPr>
      </w:pPr>
    </w:p>
    <w:tbl>
      <w:tblPr>
        <w:tblStyle w:val="3"/>
        <w:tblpPr w:leftFromText="180" w:rightFromText="180" w:vertAnchor="page" w:horzAnchor="margin" w:tblpY="3082"/>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16"/>
        <w:gridCol w:w="1710"/>
        <w:gridCol w:w="918"/>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675"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位次排名</w:t>
            </w:r>
          </w:p>
        </w:tc>
        <w:tc>
          <w:tcPr>
            <w:tcW w:w="916" w:type="dxa"/>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类别</w:t>
            </w:r>
          </w:p>
        </w:tc>
        <w:tc>
          <w:tcPr>
            <w:tcW w:w="1710"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申请单位</w:t>
            </w:r>
          </w:p>
        </w:tc>
        <w:tc>
          <w:tcPr>
            <w:tcW w:w="918"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主持人</w:t>
            </w:r>
          </w:p>
        </w:tc>
        <w:tc>
          <w:tcPr>
            <w:tcW w:w="4253"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w:t>
            </w:r>
          </w:p>
        </w:tc>
        <w:tc>
          <w:tcPr>
            <w:tcW w:w="916" w:type="dxa"/>
            <w:vMerge w:val="restart"/>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高职组</w:t>
            </w:r>
          </w:p>
          <w:p>
            <w:pPr>
              <w:widowControl/>
              <w:jc w:val="center"/>
              <w:rPr>
                <w:rFonts w:ascii="宋体" w:hAnsi="宋体" w:cs="宋体"/>
                <w:b/>
                <w:color w:val="000000"/>
                <w:kern w:val="0"/>
                <w:sz w:val="22"/>
              </w:rPr>
            </w:pPr>
          </w:p>
          <w:p>
            <w:pPr>
              <w:widowControl/>
              <w:jc w:val="center"/>
              <w:rPr>
                <w:rFonts w:ascii="宋体" w:hAnsi="宋体" w:cs="宋体"/>
                <w:b/>
                <w:color w:val="000000"/>
                <w:kern w:val="0"/>
                <w:sz w:val="22"/>
              </w:rPr>
            </w:pPr>
            <w:r>
              <w:rPr>
                <w:rFonts w:hint="eastAsia" w:ascii="宋体" w:hAnsi="宋体" w:cs="宋体"/>
                <w:b/>
                <w:color w:val="000000"/>
                <w:kern w:val="0"/>
                <w:sz w:val="22"/>
              </w:rPr>
              <w:t>重点</w:t>
            </w:r>
          </w:p>
          <w:p>
            <w:pPr>
              <w:widowControl/>
              <w:jc w:val="center"/>
              <w:rPr>
                <w:rFonts w:ascii="宋体" w:hAnsi="宋体" w:cs="宋体"/>
                <w:color w:val="000000"/>
                <w:kern w:val="0"/>
                <w:sz w:val="22"/>
              </w:rPr>
            </w:pPr>
            <w:r>
              <w:rPr>
                <w:rFonts w:hint="eastAsia" w:ascii="宋体" w:hAnsi="宋体" w:cs="宋体"/>
                <w:b/>
                <w:color w:val="000000"/>
                <w:kern w:val="0"/>
                <w:sz w:val="22"/>
              </w:rPr>
              <w:t>课题</w:t>
            </w: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贵州盛华职业学院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盛华</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高职院校产教深度融合的创新机制与实施路径研究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贵州装备制造职业学院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李开阳</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乡村振兴背景下——装备职院对口帮扶台江职校经验和路径研究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ind w:firstLine="110" w:firstLineChars="50"/>
              <w:rPr>
                <w:rFonts w:ascii="宋体" w:hAnsi="宋体" w:cs="宋体"/>
                <w:color w:val="000000"/>
                <w:kern w:val="0"/>
                <w:sz w:val="22"/>
              </w:rPr>
            </w:pPr>
            <w:r>
              <w:rPr>
                <w:rFonts w:hint="eastAsia" w:ascii="宋体" w:hAnsi="宋体" w:cs="宋体"/>
                <w:color w:val="000000"/>
                <w:kern w:val="0"/>
                <w:sz w:val="22"/>
              </w:rPr>
              <w:t>3</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贵州建设职业技术学院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郑国玺</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《民法典》视域下贵州高职学生创业就业法律保障机制构建研究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4</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黔东南民族职业技术学院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蒋光辉</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乡村振兴背景下民族地区高职旅游人才“双融双创”培养实践路径研究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5</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xml:space="preserve">贵州轻工职业技术学院 </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吕志君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“双高计划”背景下大数据专业群教师教学创新团队建设研究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6</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贵州农业职业学院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钟华</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构建高职专业课程思政教学体系的研究——以生态农业技术专业为例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7</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贵州工业职业技术学院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陈怡</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基于产教深度融合的现代产业学院建设实践探索</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8</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贵州交通职业技术学院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谢雪梅</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贵州高速公路服务区交旅融合发展模式研究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9</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贵州职业技术学院</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李雪芬</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乡村振兴战略背景下贵州职业院校毕业生就业服务体系构建研究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10</w:t>
            </w:r>
          </w:p>
        </w:tc>
        <w:tc>
          <w:tcPr>
            <w:tcW w:w="916" w:type="dxa"/>
            <w:vMerge w:val="restart"/>
            <w:vAlign w:val="center"/>
          </w:tcPr>
          <w:p>
            <w:pPr>
              <w:widowControl/>
              <w:rPr>
                <w:rFonts w:ascii="宋体" w:hAnsi="宋体" w:cs="宋体"/>
                <w:b/>
                <w:color w:val="000000"/>
                <w:kern w:val="0"/>
                <w:sz w:val="22"/>
              </w:rPr>
            </w:pPr>
            <w:r>
              <w:rPr>
                <w:rFonts w:hint="eastAsia" w:ascii="宋体" w:hAnsi="宋体" w:cs="宋体"/>
                <w:b/>
                <w:color w:val="000000"/>
                <w:kern w:val="0"/>
                <w:sz w:val="22"/>
              </w:rPr>
              <w:t>中职组</w:t>
            </w:r>
          </w:p>
          <w:p>
            <w:pPr>
              <w:widowControl/>
              <w:rPr>
                <w:rFonts w:ascii="宋体" w:hAnsi="宋体" w:cs="宋体"/>
                <w:b/>
                <w:color w:val="000000"/>
                <w:kern w:val="0"/>
                <w:sz w:val="22"/>
              </w:rPr>
            </w:pPr>
          </w:p>
          <w:p>
            <w:pPr>
              <w:widowControl/>
              <w:rPr>
                <w:rFonts w:ascii="宋体" w:hAnsi="宋体" w:cs="宋体"/>
                <w:b/>
                <w:color w:val="000000"/>
                <w:kern w:val="0"/>
                <w:sz w:val="22"/>
              </w:rPr>
            </w:pPr>
            <w:r>
              <w:rPr>
                <w:rFonts w:hint="eastAsia" w:ascii="宋体" w:hAnsi="宋体" w:cs="宋体"/>
                <w:b/>
                <w:color w:val="000000"/>
                <w:kern w:val="0"/>
                <w:sz w:val="22"/>
              </w:rPr>
              <w:t>重点</w:t>
            </w:r>
          </w:p>
          <w:p>
            <w:pPr>
              <w:widowControl/>
              <w:rPr>
                <w:rFonts w:ascii="宋体" w:hAnsi="宋体" w:cs="宋体"/>
                <w:color w:val="000000"/>
                <w:kern w:val="0"/>
                <w:sz w:val="22"/>
              </w:rPr>
            </w:pPr>
            <w:r>
              <w:rPr>
                <w:rFonts w:hint="eastAsia" w:ascii="宋体" w:hAnsi="宋体" w:cs="宋体"/>
                <w:b/>
                <w:color w:val="000000"/>
                <w:kern w:val="0"/>
                <w:sz w:val="22"/>
              </w:rPr>
              <w:t>课题</w:t>
            </w: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安龙县中等职业学校</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王世晶</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食用菌产业助力乡村振兴发展的途径与策略研究——以安龙县食用菌产业发展为例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11</w:t>
            </w:r>
          </w:p>
        </w:tc>
        <w:tc>
          <w:tcPr>
            <w:tcW w:w="916" w:type="dxa"/>
            <w:vMerge w:val="continue"/>
          </w:tcPr>
          <w:p>
            <w:pPr>
              <w:widowControl/>
              <w:jc w:val="left"/>
              <w:rPr>
                <w:rFonts w:ascii="宋体" w:hAnsi="宋体" w:cs="宋体"/>
                <w:color w:val="000000"/>
                <w:kern w:val="0"/>
                <w:sz w:val="22"/>
              </w:rPr>
            </w:pPr>
          </w:p>
        </w:tc>
        <w:tc>
          <w:tcPr>
            <w:tcW w:w="1710"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贵州省旅游学校</w:t>
            </w:r>
          </w:p>
        </w:tc>
        <w:tc>
          <w:tcPr>
            <w:tcW w:w="918"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李松涛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新时代贵州中职学校三重文化育人模式研究</w:t>
            </w:r>
          </w:p>
          <w:p>
            <w:pPr>
              <w:widowControl/>
              <w:jc w:val="left"/>
              <w:rPr>
                <w:rFonts w:ascii="宋体" w:hAnsi="宋体" w:cs="宋体"/>
                <w:color w:val="000000"/>
                <w:kern w:val="0"/>
                <w:sz w:val="22"/>
              </w:rPr>
            </w:pPr>
          </w:p>
        </w:tc>
      </w:tr>
    </w:tbl>
    <w:p>
      <w:pPr>
        <w:spacing w:line="520" w:lineRule="exact"/>
        <w:rPr>
          <w:rFonts w:hint="eastAsia" w:ascii="黑体" w:hAnsi="黑体" w:eastAsia="黑体" w:cs="黑体"/>
          <w:color w:val="000000"/>
          <w:sz w:val="32"/>
          <w:szCs w:val="32"/>
        </w:rPr>
      </w:pPr>
      <w:r>
        <w:rPr>
          <w:rFonts w:hint="eastAsia" w:ascii="黑体" w:hAnsi="黑体" w:eastAsia="黑体" w:cs="黑体"/>
          <w:color w:val="000000"/>
          <w:sz w:val="32"/>
          <w:szCs w:val="32"/>
        </w:rPr>
        <w:t>附件2</w:t>
      </w:r>
    </w:p>
    <w:p>
      <w:pPr>
        <w:spacing w:line="520" w:lineRule="exact"/>
        <w:jc w:val="center"/>
        <w:rPr>
          <w:rFonts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青年课题建议推荐立项名单</w:t>
      </w:r>
    </w:p>
    <w:tbl>
      <w:tblPr>
        <w:tblStyle w:val="3"/>
        <w:tblpPr w:leftFromText="180" w:rightFromText="180" w:vertAnchor="page" w:horzAnchor="margin" w:tblpY="3082"/>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559"/>
        <w:gridCol w:w="992"/>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675"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位次排名</w:t>
            </w:r>
          </w:p>
        </w:tc>
        <w:tc>
          <w:tcPr>
            <w:tcW w:w="993" w:type="dxa"/>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类别</w:t>
            </w:r>
          </w:p>
        </w:tc>
        <w:tc>
          <w:tcPr>
            <w:tcW w:w="1559"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申请单位</w:t>
            </w:r>
          </w:p>
        </w:tc>
        <w:tc>
          <w:tcPr>
            <w:tcW w:w="992"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主持人</w:t>
            </w:r>
          </w:p>
        </w:tc>
        <w:tc>
          <w:tcPr>
            <w:tcW w:w="4253"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w:t>
            </w:r>
          </w:p>
        </w:tc>
        <w:tc>
          <w:tcPr>
            <w:tcW w:w="993" w:type="dxa"/>
            <w:vMerge w:val="restart"/>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高职组</w:t>
            </w:r>
          </w:p>
          <w:p>
            <w:pPr>
              <w:widowControl/>
              <w:jc w:val="center"/>
              <w:rPr>
                <w:rFonts w:ascii="宋体" w:hAnsi="宋体" w:cs="宋体"/>
                <w:b/>
                <w:color w:val="000000"/>
                <w:kern w:val="0"/>
                <w:sz w:val="22"/>
              </w:rPr>
            </w:pPr>
          </w:p>
          <w:p>
            <w:pPr>
              <w:widowControl/>
              <w:jc w:val="center"/>
              <w:rPr>
                <w:rFonts w:ascii="宋体" w:hAnsi="宋体" w:cs="宋体"/>
                <w:color w:val="000000"/>
                <w:kern w:val="0"/>
                <w:sz w:val="22"/>
              </w:rPr>
            </w:pPr>
            <w:r>
              <w:rPr>
                <w:rFonts w:hint="eastAsia" w:ascii="宋体" w:hAnsi="宋体" w:cs="宋体"/>
                <w:b/>
                <w:color w:val="000000"/>
                <w:kern w:val="0"/>
                <w:sz w:val="22"/>
              </w:rPr>
              <w:t>青年  课题</w:t>
            </w: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袁春燕</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1+X证书制度下高职院校“大数据与会计”专业人才培养模式研究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贵州交通职业技术学院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方涛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职业教育大发展背景下贵州职业院校校内生产性实训基地建设研究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ind w:firstLine="110" w:firstLineChars="50"/>
              <w:rPr>
                <w:rFonts w:ascii="宋体" w:hAnsi="宋体" w:cs="宋体"/>
                <w:color w:val="000000"/>
                <w:kern w:val="0"/>
                <w:sz w:val="22"/>
              </w:rPr>
            </w:pPr>
            <w:r>
              <w:rPr>
                <w:rFonts w:hint="eastAsia" w:ascii="宋体" w:hAnsi="宋体" w:cs="宋体"/>
                <w:color w:val="000000"/>
                <w:kern w:val="0"/>
                <w:sz w:val="22"/>
              </w:rPr>
              <w:t>3</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黔东南民族职业技术学院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谢白杨</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文旅融合背景下高职院校基于产教融合的非遗文创设计人才培养研究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4</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铜仁职业技术学院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谭洁</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基于OBE理念的互联网+教学模式研究与实践——以电工电子实验为例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5</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贵州电子商务职业技术学院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刘世云</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基于产教融合的实践教学体系实施路径研究—以婴幼儿托育服务与管理专业为例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6</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贵州农业职业学院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支锐</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基于现代学徒制的畜牧兽医专业教学改革研究——以动物营养与饲料课程为例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7</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贵州工业职业技术学院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王媛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贵州省新型工业化发展背景下的高职院校专业设置及优化对策研究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8</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贵州健康职业学校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阳盼</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产教融合背景下提升高职大学语文育人实效的教学模式改革研究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9</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 xml:space="preserve">贵州轻工职业技术学院 </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罗道坚</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基于贵州山地水果果酱罐装机械的研究</w:t>
            </w:r>
          </w:p>
          <w:p>
            <w:pPr>
              <w:widowControl/>
              <w:jc w:val="left"/>
              <w:rPr>
                <w:rFonts w:ascii="宋体" w:hAnsi="宋体" w:cs="宋体"/>
                <w:color w:val="000000"/>
                <w:kern w:val="0"/>
                <w:sz w:val="22"/>
              </w:rPr>
            </w:pP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10</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贵州电子信息职业技术学院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吴业强</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基于成果导向与现代学徒制的欠发达地区非中心城市高职汽车专业人才培养模式研</w:t>
            </w:r>
          </w:p>
          <w:p>
            <w:pPr>
              <w:widowControl/>
              <w:jc w:val="left"/>
              <w:rPr>
                <w:rFonts w:ascii="宋体" w:hAnsi="宋体" w:cs="宋体"/>
                <w:color w:val="000000"/>
                <w:kern w:val="0"/>
                <w:sz w:val="22"/>
              </w:rPr>
            </w:pPr>
            <w:r>
              <w:rPr>
                <w:rFonts w:hint="eastAsia" w:ascii="宋体" w:hAnsi="宋体" w:cs="宋体"/>
                <w:color w:val="000000"/>
                <w:kern w:val="0"/>
                <w:sz w:val="22"/>
              </w:rPr>
              <w:t>究与实践</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11</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贵州建设职业技术学院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李波</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“放管服”：“双高计划”背景下高职院校二级管理机制研究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12</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贵州食品工程职业学院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丁汀</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基于市场营销实务课程思政实践性教学评价体系构建研</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13</w:t>
            </w:r>
          </w:p>
        </w:tc>
        <w:tc>
          <w:tcPr>
            <w:tcW w:w="993" w:type="dxa"/>
            <w:vMerge w:val="restart"/>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中职组</w:t>
            </w:r>
          </w:p>
          <w:p>
            <w:pPr>
              <w:widowControl/>
              <w:jc w:val="center"/>
              <w:rPr>
                <w:rFonts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b/>
                <w:color w:val="000000"/>
                <w:kern w:val="0"/>
                <w:sz w:val="22"/>
              </w:rPr>
              <w:t>青年  课题</w:t>
            </w: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凯里市第一中等职业学校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潘俊月</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现代职业教育体系中苗族音乐教学与传承研究——以黔东南中职学校为例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14</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铜仁市碧江区中等职业学校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李茜</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TPACK框架下的中职教师教学能力的内涵、结构及标准研究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15</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贵州省交通运输学校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郭长军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特色教育强省背景下职业教育与技工教育融合发展的实施路径与策略研究——以贵州省交通运输学校为例</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16</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贵阳市经济贸易中等专业学校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张文文</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新形势下中职幼儿保育专业的现状及发展路径研究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szCs w:val="21"/>
              </w:rPr>
            </w:pPr>
            <w:r>
              <w:rPr>
                <w:rFonts w:hint="eastAsia" w:ascii="宋体" w:hAnsi="宋体" w:cs="宋体"/>
                <w:color w:val="000000"/>
                <w:kern w:val="0"/>
                <w:sz w:val="22"/>
              </w:rPr>
              <w:t>17</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丹寨县民族职业技术学校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王启立</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产教融合视野下苗族蜡染技艺职教传承与发展实践研究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szCs w:val="21"/>
              </w:rPr>
            </w:pPr>
            <w:r>
              <w:rPr>
                <w:rFonts w:hint="eastAsia" w:ascii="宋体" w:hAnsi="宋体" w:cs="宋体"/>
                <w:color w:val="000000"/>
                <w:kern w:val="0"/>
                <w:sz w:val="22"/>
              </w:rPr>
              <w:t>18</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遵义市市教育局</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黄景生</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现代职业教育体系下黔北地区中职人才培养质量监测的实践研究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szCs w:val="21"/>
              </w:rPr>
            </w:pPr>
            <w:r>
              <w:rPr>
                <w:rFonts w:hint="eastAsia" w:ascii="宋体" w:hAnsi="宋体" w:cs="宋体"/>
                <w:color w:val="000000"/>
                <w:kern w:val="0"/>
                <w:sz w:val="22"/>
              </w:rPr>
              <w:t>19</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盘州市职业技术学校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王娜</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同课异构视角下中职数控实训教学模式的创新实践探究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szCs w:val="21"/>
              </w:rPr>
            </w:pPr>
            <w:r>
              <w:rPr>
                <w:rFonts w:hint="eastAsia" w:ascii="宋体" w:hAnsi="宋体" w:cs="宋体"/>
                <w:color w:val="000000"/>
                <w:kern w:val="0"/>
                <w:sz w:val="22"/>
              </w:rPr>
              <w:t>20</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开阳县职业技术学校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尚荣</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县域中职与社区职业启蒙教育协同策略研究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szCs w:val="21"/>
              </w:rPr>
            </w:pPr>
            <w:r>
              <w:rPr>
                <w:rFonts w:hint="eastAsia" w:ascii="宋体" w:hAnsi="宋体" w:cs="宋体"/>
                <w:color w:val="000000"/>
                <w:kern w:val="0"/>
                <w:sz w:val="22"/>
              </w:rPr>
              <w:t>21</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黔西县中等职业学校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韩君</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当地化屋村苗族文化融入中职体育课堂教学的实践研究</w:t>
            </w:r>
          </w:p>
          <w:p>
            <w:pPr>
              <w:widowControl/>
              <w:jc w:val="left"/>
              <w:rPr>
                <w:rFonts w:ascii="宋体" w:hAnsi="宋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22</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贵阳市盲聋哑学校</w:t>
            </w:r>
          </w:p>
        </w:tc>
        <w:tc>
          <w:tcPr>
            <w:tcW w:w="992" w:type="dxa"/>
            <w:noWrap/>
            <w:vAlign w:val="center"/>
          </w:tcPr>
          <w:p>
            <w:pPr>
              <w:widowControl/>
              <w:rPr>
                <w:rFonts w:ascii="宋体" w:hAnsi="宋体" w:cs="宋体"/>
                <w:color w:val="000000"/>
                <w:kern w:val="0"/>
                <w:sz w:val="22"/>
              </w:rPr>
            </w:pPr>
            <w:r>
              <w:rPr>
                <w:rFonts w:hint="eastAsia" w:ascii="宋体" w:hAnsi="宋体" w:cs="宋体"/>
                <w:color w:val="000000"/>
                <w:kern w:val="0"/>
                <w:sz w:val="22"/>
              </w:rPr>
              <w:t>罗小红</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中职特殊教育视障教具的研发与实践研究</w:t>
            </w:r>
          </w:p>
        </w:tc>
      </w:tr>
    </w:tbl>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方正小标宋简体" w:hAnsi="黑体" w:eastAsia="方正小标宋简体"/>
          <w:b/>
          <w:bCs/>
          <w:sz w:val="44"/>
          <w:szCs w:val="44"/>
        </w:rPr>
      </w:pPr>
    </w:p>
    <w:p>
      <w:pPr>
        <w:spacing w:line="520" w:lineRule="exact"/>
        <w:rPr>
          <w:rFonts w:ascii="黑体" w:hAnsi="黑体" w:eastAsia="黑体" w:cs="黑体"/>
          <w:color w:val="000000"/>
          <w:sz w:val="32"/>
          <w:szCs w:val="32"/>
        </w:rPr>
      </w:pPr>
      <w:r>
        <w:rPr>
          <w:rFonts w:hint="eastAsia" w:ascii="黑体" w:hAnsi="黑体" w:eastAsia="黑体" w:cs="黑体"/>
          <w:color w:val="000000"/>
          <w:sz w:val="32"/>
          <w:szCs w:val="32"/>
        </w:rPr>
        <w:t>附件3</w:t>
      </w:r>
    </w:p>
    <w:p>
      <w:pPr>
        <w:spacing w:line="520" w:lineRule="exact"/>
        <w:jc w:val="center"/>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应用课题建议推荐立项名单</w:t>
      </w:r>
    </w:p>
    <w:p>
      <w:pPr>
        <w:spacing w:line="560" w:lineRule="exact"/>
        <w:rPr>
          <w:rFonts w:ascii="宋体" w:hAnsi="宋体"/>
          <w:color w:val="000000"/>
          <w:sz w:val="30"/>
          <w:szCs w:val="30"/>
        </w:rPr>
      </w:pPr>
    </w:p>
    <w:tbl>
      <w:tblPr>
        <w:tblStyle w:val="3"/>
        <w:tblpPr w:leftFromText="180" w:rightFromText="180" w:vertAnchor="page" w:horzAnchor="margin" w:tblpY="3082"/>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559"/>
        <w:gridCol w:w="992"/>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675"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位次排名</w:t>
            </w:r>
          </w:p>
        </w:tc>
        <w:tc>
          <w:tcPr>
            <w:tcW w:w="993" w:type="dxa"/>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类别</w:t>
            </w:r>
          </w:p>
        </w:tc>
        <w:tc>
          <w:tcPr>
            <w:tcW w:w="1559"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申请单位</w:t>
            </w:r>
          </w:p>
        </w:tc>
        <w:tc>
          <w:tcPr>
            <w:tcW w:w="992"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主持人</w:t>
            </w:r>
          </w:p>
        </w:tc>
        <w:tc>
          <w:tcPr>
            <w:tcW w:w="4253" w:type="dxa"/>
            <w:noWrap/>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课题名称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w:t>
            </w:r>
          </w:p>
        </w:tc>
        <w:tc>
          <w:tcPr>
            <w:tcW w:w="993" w:type="dxa"/>
            <w:vMerge w:val="restart"/>
            <w:vAlign w:val="center"/>
          </w:tcPr>
          <w:p>
            <w:pPr>
              <w:widowControl/>
              <w:jc w:val="center"/>
              <w:rPr>
                <w:rFonts w:ascii="宋体" w:hAnsi="宋体" w:cs="宋体"/>
                <w:b/>
                <w:color w:val="000000"/>
                <w:kern w:val="0"/>
                <w:sz w:val="22"/>
              </w:rPr>
            </w:pPr>
            <w:r>
              <w:rPr>
                <w:rFonts w:hint="eastAsia" w:ascii="宋体" w:hAnsi="宋体" w:cs="宋体"/>
                <w:b/>
                <w:color w:val="000000"/>
                <w:kern w:val="0"/>
                <w:sz w:val="22"/>
              </w:rPr>
              <w:t>高职组</w:t>
            </w:r>
          </w:p>
          <w:p>
            <w:pPr>
              <w:widowControl/>
              <w:jc w:val="center"/>
              <w:rPr>
                <w:rFonts w:ascii="宋体" w:hAnsi="宋体" w:cs="宋体"/>
                <w:b/>
                <w:color w:val="000000"/>
                <w:kern w:val="0"/>
                <w:sz w:val="22"/>
              </w:rPr>
            </w:pPr>
          </w:p>
          <w:p>
            <w:pPr>
              <w:widowControl/>
              <w:jc w:val="center"/>
              <w:rPr>
                <w:rFonts w:ascii="宋体" w:hAnsi="宋体" w:cs="宋体"/>
                <w:color w:val="000000"/>
                <w:kern w:val="0"/>
                <w:sz w:val="22"/>
              </w:rPr>
            </w:pPr>
            <w:r>
              <w:rPr>
                <w:rFonts w:hint="eastAsia" w:ascii="宋体" w:hAnsi="宋体" w:cs="宋体"/>
                <w:b/>
                <w:color w:val="000000"/>
                <w:kern w:val="0"/>
                <w:sz w:val="22"/>
              </w:rPr>
              <w:t>应用  课题</w:t>
            </w: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铜仁职业技术学院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高俊波</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基于乡村振兴的乡村治理人才定制培养实践与创新研究——以畜牧兽医高水平专业群为例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2</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贵州食品工程职业学院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魏 林</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职业院校科研成果转化助力乡村振兴及新型工业化发展的模式研究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ind w:firstLine="110" w:firstLineChars="50"/>
              <w:rPr>
                <w:rFonts w:ascii="宋体" w:hAnsi="宋体" w:cs="宋体"/>
                <w:color w:val="000000"/>
                <w:kern w:val="0"/>
                <w:sz w:val="22"/>
              </w:rPr>
            </w:pPr>
            <w:r>
              <w:rPr>
                <w:rFonts w:hint="eastAsia" w:ascii="宋体" w:hAnsi="宋体" w:cs="宋体"/>
                <w:color w:val="000000"/>
                <w:kern w:val="0"/>
                <w:sz w:val="22"/>
              </w:rPr>
              <w:t>3</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黔东南民族职业技术学院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卿斐</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产业扶贫背景下彝族漆艺和苗族银饰锻制技艺的融合与创新研究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4</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贵州工业职业技术学院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周玮</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赤水河流域水体污染与经济增长的脱钩关系研究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5</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贵州建设职业技术学院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陈蓝</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贵州省高职院校实施预算绩效管理机制及评价指标体系研究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6</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贵州装备制造职业学院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吴康平</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智能控制技术在乡村振兴家禽养殖产业中的应用研究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7</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袁琳琳</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智慧教育平台的建设与推广应用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8</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贵州农业职业学院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王秋萍</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银杏叶提取物生产废液中奎宁酸回收工艺研究及应用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9</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贵州水利水电职业技术学院</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杨娅</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农村生活污水处理技术研究助力赫章乡村振兴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10</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贵阳幼儿师范高等专科学校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朱克岚</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新工科背景下贵州高职院校软件技术人才OBE培养模式研究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11</w:t>
            </w:r>
          </w:p>
        </w:tc>
        <w:tc>
          <w:tcPr>
            <w:tcW w:w="993" w:type="dxa"/>
            <w:vMerge w:val="restart"/>
          </w:tcPr>
          <w:p>
            <w:pPr>
              <w:widowControl/>
              <w:jc w:val="center"/>
              <w:rPr>
                <w:rFonts w:ascii="宋体" w:hAnsi="宋体" w:cs="宋体"/>
                <w:b/>
                <w:color w:val="000000"/>
                <w:kern w:val="0"/>
                <w:sz w:val="22"/>
              </w:rPr>
            </w:pPr>
          </w:p>
          <w:p>
            <w:pPr>
              <w:widowControl/>
              <w:jc w:val="center"/>
              <w:rPr>
                <w:rFonts w:ascii="宋体" w:hAnsi="宋体" w:cs="宋体"/>
                <w:b/>
                <w:color w:val="000000"/>
                <w:kern w:val="0"/>
                <w:sz w:val="22"/>
              </w:rPr>
            </w:pPr>
          </w:p>
          <w:p>
            <w:pPr>
              <w:widowControl/>
              <w:jc w:val="center"/>
              <w:rPr>
                <w:rFonts w:ascii="宋体" w:hAnsi="宋体" w:cs="宋体"/>
                <w:b/>
                <w:color w:val="000000"/>
                <w:kern w:val="0"/>
                <w:sz w:val="22"/>
              </w:rPr>
            </w:pPr>
          </w:p>
          <w:p>
            <w:pPr>
              <w:widowControl/>
              <w:jc w:val="center"/>
              <w:rPr>
                <w:rFonts w:ascii="宋体" w:hAnsi="宋体" w:cs="宋体"/>
                <w:b/>
                <w:color w:val="000000"/>
                <w:kern w:val="0"/>
                <w:sz w:val="22"/>
              </w:rPr>
            </w:pPr>
            <w:r>
              <w:rPr>
                <w:rFonts w:hint="eastAsia" w:ascii="宋体" w:hAnsi="宋体" w:cs="宋体"/>
                <w:b/>
                <w:color w:val="000000"/>
                <w:kern w:val="0"/>
                <w:sz w:val="22"/>
              </w:rPr>
              <w:t>中职组</w:t>
            </w:r>
          </w:p>
          <w:p>
            <w:pPr>
              <w:widowControl/>
              <w:jc w:val="center"/>
              <w:rPr>
                <w:rFonts w:ascii="宋体" w:hAnsi="宋体" w:cs="宋体"/>
                <w:b/>
                <w:color w:val="000000"/>
                <w:kern w:val="0"/>
                <w:sz w:val="22"/>
              </w:rPr>
            </w:pPr>
          </w:p>
          <w:p>
            <w:pPr>
              <w:widowControl/>
              <w:ind w:left="218" w:leftChars="104"/>
              <w:jc w:val="left"/>
              <w:rPr>
                <w:rFonts w:ascii="宋体" w:hAnsi="宋体" w:cs="宋体"/>
                <w:color w:val="000000"/>
                <w:kern w:val="0"/>
                <w:sz w:val="22"/>
              </w:rPr>
            </w:pPr>
            <w:r>
              <w:rPr>
                <w:rFonts w:hint="eastAsia" w:ascii="宋体" w:hAnsi="宋体" w:cs="宋体"/>
                <w:b/>
                <w:color w:val="000000"/>
                <w:kern w:val="0"/>
                <w:sz w:val="22"/>
              </w:rPr>
              <w:t>应用  课题</w:t>
            </w: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安顺市民族中等职业学校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王铁</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安顺傩雕艺术创新实践研究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eastAsia="宋体" w:cs="宋体"/>
                <w:color w:val="000000"/>
                <w:kern w:val="0"/>
                <w:sz w:val="22"/>
              </w:rPr>
            </w:pPr>
            <w:r>
              <w:rPr>
                <w:rFonts w:hint="eastAsia" w:ascii="宋体" w:hAnsi="宋体" w:cs="宋体"/>
                <w:color w:val="000000"/>
                <w:kern w:val="0"/>
                <w:sz w:val="22"/>
              </w:rPr>
              <w:t>12</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惠水县中等职业学校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唐冰</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惠水布依族枫香染进中职课堂，培养助推乡村振兴的能工巧匠行动研究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13</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雷山县中等职业学校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刘长红</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乡村振兴背景下黔东南胡蜂特种养殖产业化发展研究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14</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贵州省体育运动学校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陈洁琼</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课程思政促进中职师生创新能力的实践探索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5"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15</w:t>
            </w:r>
          </w:p>
        </w:tc>
        <w:tc>
          <w:tcPr>
            <w:tcW w:w="993" w:type="dxa"/>
            <w:vMerge w:val="continue"/>
          </w:tcPr>
          <w:p>
            <w:pPr>
              <w:widowControl/>
              <w:jc w:val="left"/>
              <w:rPr>
                <w:rFonts w:ascii="宋体" w:hAnsi="宋体" w:cs="宋体"/>
                <w:color w:val="000000"/>
                <w:kern w:val="0"/>
                <w:sz w:val="22"/>
              </w:rPr>
            </w:pPr>
          </w:p>
        </w:tc>
        <w:tc>
          <w:tcPr>
            <w:tcW w:w="1559" w:type="dxa"/>
            <w:noWrap/>
            <w:vAlign w:val="center"/>
          </w:tcPr>
          <w:p>
            <w:pPr>
              <w:widowControl/>
              <w:jc w:val="left"/>
              <w:rPr>
                <w:rFonts w:ascii="宋体" w:hAnsi="宋体" w:cs="宋体"/>
                <w:color w:val="000000"/>
                <w:kern w:val="0"/>
                <w:sz w:val="22"/>
              </w:rPr>
            </w:pPr>
            <w:r>
              <w:rPr>
                <w:rFonts w:hint="eastAsia" w:ascii="宋体" w:hAnsi="宋体" w:cs="宋体"/>
                <w:color w:val="000000"/>
                <w:kern w:val="0"/>
                <w:sz w:val="22"/>
              </w:rPr>
              <w:t>贵阳市女子职业学校</w:t>
            </w:r>
          </w:p>
        </w:tc>
        <w:tc>
          <w:tcPr>
            <w:tcW w:w="992" w:type="dxa"/>
            <w:noWrap/>
            <w:vAlign w:val="center"/>
          </w:tcPr>
          <w:p>
            <w:pPr>
              <w:widowControl/>
              <w:jc w:val="center"/>
              <w:rPr>
                <w:rFonts w:ascii="宋体" w:hAnsi="宋体" w:cs="宋体"/>
                <w:color w:val="000000"/>
                <w:kern w:val="0"/>
                <w:sz w:val="22"/>
              </w:rPr>
            </w:pPr>
            <w:r>
              <w:rPr>
                <w:rFonts w:hint="eastAsia" w:ascii="宋体" w:hAnsi="宋体" w:cs="宋体"/>
                <w:color w:val="000000"/>
                <w:kern w:val="0"/>
                <w:sz w:val="22"/>
              </w:rPr>
              <w:t>赵 倩</w:t>
            </w:r>
          </w:p>
        </w:tc>
        <w:tc>
          <w:tcPr>
            <w:tcW w:w="4253" w:type="dxa"/>
            <w:vAlign w:val="center"/>
          </w:tcPr>
          <w:p>
            <w:pPr>
              <w:widowControl/>
              <w:jc w:val="left"/>
              <w:rPr>
                <w:rFonts w:ascii="宋体" w:hAnsi="宋体" w:cs="宋体"/>
                <w:color w:val="000000"/>
                <w:kern w:val="0"/>
                <w:sz w:val="22"/>
              </w:rPr>
            </w:pPr>
            <w:r>
              <w:rPr>
                <w:rFonts w:hint="eastAsia" w:ascii="宋体" w:hAnsi="宋体" w:cs="宋体"/>
                <w:color w:val="000000"/>
                <w:kern w:val="0"/>
                <w:sz w:val="22"/>
              </w:rPr>
              <w:t>贵州省中职旅游管理专业创新创业教育存在的问题及对策研究</w:t>
            </w:r>
          </w:p>
        </w:tc>
      </w:tr>
    </w:tbl>
    <w:p>
      <w:pPr>
        <w:spacing w:line="520" w:lineRule="exact"/>
        <w:rPr>
          <w:rFonts w:hint="eastAsia" w:ascii="仿宋" w:hAnsi="仿宋" w:eastAsia="仿宋" w:cs="仿宋"/>
          <w:sz w:val="32"/>
          <w:szCs w:val="32"/>
        </w:rPr>
      </w:pPr>
    </w:p>
    <w:p>
      <w:bookmarkStart w:id="0" w:name="_GoBack"/>
      <w:bookmarkEnd w:id="0"/>
    </w:p>
    <w:sectPr>
      <w:footerReference r:id="rId3" w:type="default"/>
      <w:pgSz w:w="11906" w:h="16838"/>
      <w:pgMar w:top="1985"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3761622"/>
    </w:sdtPr>
    <w:sdtEndPr>
      <w:rPr>
        <w:rFonts w:asciiTheme="minorEastAsia" w:hAnsiTheme="minorEastAsia"/>
        <w:sz w:val="28"/>
        <w:szCs w:val="28"/>
      </w:rPr>
    </w:sdtEndPr>
    <w:sdtContent>
      <w:p>
        <w:pPr>
          <w:pStyle w:val="2"/>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1 -</w:t>
        </w:r>
        <w:r>
          <w:rPr>
            <w:rFonts w:asciiTheme="minorEastAsia" w:hAnsiTheme="minorEastAsia"/>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70BA4"/>
    <w:rsid w:val="0A570BA4"/>
    <w:rsid w:val="0B1F5AB1"/>
    <w:rsid w:val="35F14C73"/>
    <w:rsid w:val="71EB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2022-01-12T09:44:00Z</dcterms:created>
  <dc:creator>1991514</dc:creator>
  <cp:lastModifiedBy>1991514</cp:lastModifiedBy>
  <dcterms:modified xsi:type="dcterms:W3CDTF">2022-01-12T09:44:51Z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906A53F3FBC44B298956C5C20FB5ABE4</vt:lpwstr>
  </property>
</Properties>
</file>