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微软雅黑" w:hAnsi="微软雅黑" w:eastAsia="微软雅黑"/>
          <w:sz w:val="44"/>
        </w:rPr>
      </w:pPr>
      <w:r>
        <w:rPr>
          <w:rFonts w:hint="eastAsia" w:ascii="微软雅黑" w:hAnsi="微软雅黑" w:eastAsia="微软雅黑"/>
          <w:sz w:val="44"/>
        </w:rPr>
        <w:t>实训室配置清单</w:t>
      </w:r>
    </w:p>
    <w:p>
      <w:pPr>
        <w:spacing w:line="240" w:lineRule="auto"/>
        <w:rPr>
          <w:rFonts w:ascii="微软雅黑" w:hAnsi="微软雅黑" w:eastAsia="微软雅黑"/>
          <w:sz w:val="32"/>
        </w:rPr>
      </w:pPr>
      <w:r>
        <w:rPr>
          <w:rFonts w:hint="eastAsia" w:ascii="微软雅黑" w:hAnsi="微软雅黑" w:eastAsia="微软雅黑"/>
          <w:sz w:val="32"/>
        </w:rPr>
        <w:t>一、实训硬件平台设备</w:t>
      </w:r>
    </w:p>
    <w:tbl>
      <w:tblPr>
        <w:tblStyle w:val="8"/>
        <w:tblW w:w="892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520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napToGrid/>
                <w:color w:val="000000"/>
                <w:sz w:val="24"/>
                <w:szCs w:val="24"/>
              </w:rPr>
              <w:t>设备名称</w:t>
            </w:r>
          </w:p>
        </w:tc>
        <w:tc>
          <w:tcPr>
            <w:tcW w:w="6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napToGrid/>
                <w:color w:val="000000"/>
                <w:sz w:val="24"/>
                <w:szCs w:val="24"/>
              </w:rPr>
              <w:t>配置参数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napToGrid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机架式服务器</w:t>
            </w:r>
          </w:p>
        </w:tc>
        <w:tc>
          <w:tcPr>
            <w:tcW w:w="6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CPU：2*12core*2.2 GHz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 xml:space="preserve">内存：128 GB DDR4 RAM(GB) 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系统盘：2*480G SSD固态硬盘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数据盘：4*960G SSD固态硬盘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网卡：2*10GE网卡（含光模块）</w:t>
            </w:r>
          </w:p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注：以上为关键配件，其他配件供应商自行配置，确保设备可满足教学使用要求。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万兆以太网交换机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1、支持48个万兆SFP+端口，6个40G QSFP+端口，支持可插拔的双电源（配置万兆光模块，连接服务器和交换机）</w:t>
            </w:r>
          </w:p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、包转发率：2000 Mpps，交换容量4.8Tbps/76.8Tbps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路由器</w:t>
            </w:r>
          </w:p>
        </w:tc>
        <w:tc>
          <w:tcPr>
            <w:tcW w:w="6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1*GE WAN,1*GE combo WAN,1*10GE SFP+,8*GE LAN,2*USB,2*SIC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千兆以太网交换机</w:t>
            </w:r>
          </w:p>
        </w:tc>
        <w:tc>
          <w:tcPr>
            <w:tcW w:w="6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24个10/100/1000BASE-T以太网端口,4个万兆SFP+,单子卡槽位,1个600W交流电源模块(后前风道,电源面板侧出风)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千兆以太网交换机</w:t>
            </w:r>
          </w:p>
        </w:tc>
        <w:tc>
          <w:tcPr>
            <w:tcW w:w="6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24个10/100/1000BASE-T以太网端口,4个万兆SFP+,单子卡槽位,PoE+,1000W交流&amp;240V直流电源模块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防火墙</w:t>
            </w:r>
          </w:p>
        </w:tc>
        <w:tc>
          <w:tcPr>
            <w:tcW w:w="6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10*GE RJ45+2*GE SFP,含SSL VPN 100用户，</w:t>
            </w:r>
            <w:r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Micro SD 64GB(SDXC Class 10,MLC NAND Flash)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2U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机柜</w:t>
            </w:r>
          </w:p>
        </w:tc>
        <w:tc>
          <w:tcPr>
            <w:tcW w:w="6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600*600*2000网络机柜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无线A</w:t>
            </w:r>
            <w:r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P</w:t>
            </w:r>
          </w:p>
        </w:tc>
        <w:tc>
          <w:tcPr>
            <w:tcW w:w="6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无线AP，POE供电模块；适配器--5degC-45degC-90V-270V-12V/2A-中式插头/DC头-02220294增加独立包材拆分编码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机架式服务器</w:t>
            </w:r>
          </w:p>
        </w:tc>
        <w:tc>
          <w:tcPr>
            <w:tcW w:w="6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CPU：2*32core*2.6 GHz</w:t>
            </w:r>
          </w:p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 xml:space="preserve">内存：256 GB DDR4 RAM(GB) </w:t>
            </w:r>
          </w:p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系统盘：2*480G SSD固态硬盘</w:t>
            </w:r>
          </w:p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数据盘：4*960G SSD固态硬盘</w:t>
            </w:r>
          </w:p>
          <w:p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网卡：2*10GE网卡（含光模块）</w:t>
            </w:r>
          </w:p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注：以上为关键配件，其他配件供应商自行配置，确保设备可满足教学使用要求。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物联网开发板</w:t>
            </w:r>
          </w:p>
        </w:tc>
        <w:tc>
          <w:tcPr>
            <w:tcW w:w="6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(1)：BearPi-IoT主板</w:t>
            </w:r>
          </w:p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(2)：WIFI通信板+ NB-IoT通信板+ GPRS通信板+ HiLink通信板</w:t>
            </w:r>
          </w:p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)：E53_SC1（智慧路灯案例板）</w:t>
            </w:r>
          </w:p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)：E53_SF1（智慧烟感案例板）</w:t>
            </w:r>
          </w:p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)：E53_IA1（智慧农业案例板）</w:t>
            </w:r>
          </w:p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)：E53_ST1（智慧物流案例板）</w:t>
            </w:r>
          </w:p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)：其它（USB数据线、杜邦线）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5</w:t>
            </w:r>
          </w:p>
        </w:tc>
      </w:tr>
    </w:tbl>
    <w:p>
      <w:pPr>
        <w:spacing w:line="240" w:lineRule="auto"/>
        <w:rPr>
          <w:rFonts w:ascii="微软雅黑" w:hAnsi="微软雅黑" w:eastAsia="微软雅黑"/>
          <w:sz w:val="32"/>
        </w:rPr>
      </w:pPr>
      <w:r>
        <w:rPr>
          <w:rFonts w:hint="eastAsia" w:ascii="微软雅黑" w:hAnsi="微软雅黑" w:eastAsia="微软雅黑"/>
          <w:sz w:val="32"/>
        </w:rPr>
        <w:t>二、实训课程和服务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5953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napToGrid/>
                <w:color w:val="000000"/>
                <w:sz w:val="24"/>
                <w:szCs w:val="24"/>
              </w:rPr>
              <w:t>实训室方向</w:t>
            </w:r>
          </w:p>
        </w:tc>
        <w:tc>
          <w:tcPr>
            <w:tcW w:w="5953" w:type="dxa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napToGrid/>
                <w:color w:val="000000"/>
                <w:sz w:val="24"/>
                <w:szCs w:val="24"/>
              </w:rPr>
              <w:t>配置参数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napToGrid/>
                <w:color w:val="000000"/>
                <w:sz w:val="24"/>
                <w:szCs w:val="24"/>
              </w:rPr>
              <w:t>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云计算</w:t>
            </w:r>
          </w:p>
        </w:tc>
        <w:tc>
          <w:tcPr>
            <w:tcW w:w="5953" w:type="dxa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1、包含云计算方向的5</w:t>
            </w:r>
            <w:r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个授权实训环境以及MOOC视频、实训环境、项目案例库、就业库、人才画像等平台资源</w:t>
            </w:r>
          </w:p>
          <w:p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、包含云计算专业基础课、专业核心课、专业选修课等课程资源，包含考试认证相关的视频、课件、作业等资源</w:t>
            </w:r>
          </w:p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3、平台软件部署，运维、订阅、升级与保障服务3年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网络</w:t>
            </w:r>
          </w:p>
        </w:tc>
        <w:tc>
          <w:tcPr>
            <w:tcW w:w="5953" w:type="dxa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1、包含网络方向的5</w:t>
            </w:r>
            <w:r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个授权实训环境以及MOOC视频、实训环境、项目案例库、就业库、人才画像等平台资源</w:t>
            </w:r>
          </w:p>
          <w:p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、包含网络专业基础课、专业核心课、专业选修课等课程资源，包含考试认证相关的视频、课件、作业等资源</w:t>
            </w:r>
          </w:p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3、平台软件部署，运维、订阅、升级与保障服务3年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autoSpaceDE/>
              <w:autoSpaceDN/>
              <w:adjustRightInd/>
              <w:spacing w:before="312" w:line="240" w:lineRule="auto"/>
              <w:jc w:val="center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大数据</w:t>
            </w:r>
          </w:p>
        </w:tc>
        <w:tc>
          <w:tcPr>
            <w:tcW w:w="5953" w:type="dxa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1、包含大数据方向的5</w:t>
            </w:r>
            <w:r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个授权实训环境以及MOOC视频、实训环境、项目案例库、就业库、人才画像等平台资源</w:t>
            </w:r>
          </w:p>
          <w:p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、包含大数据专业基础课、专业核心课、专业选修课等课程资源，包含考试认证相关的视频、课件、作业等资源；包含鲲鹏生态应用开发、鲲鹏应用实战、鲲鹏运维服务、鲲鹏应用移植等课程资源</w:t>
            </w:r>
          </w:p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3、平台软件部署，运维、订阅、升级与保障服务3年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autoSpaceDE/>
              <w:autoSpaceDN/>
              <w:adjustRightInd/>
              <w:spacing w:before="312" w:line="240" w:lineRule="auto"/>
              <w:jc w:val="center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物联网</w:t>
            </w:r>
          </w:p>
        </w:tc>
        <w:tc>
          <w:tcPr>
            <w:tcW w:w="5953" w:type="dxa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1、包含物联网方向的5</w:t>
            </w:r>
            <w:r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个授权实训环境以及MOOC视频、实训环境、项目案例库、就业库、人才画像等平台资源</w:t>
            </w:r>
          </w:p>
          <w:p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、包含物联网专业基础课、专业核心课、专业选修课等课程资源，包含考试认证相关的视频、课件、作业等资源；包含HMS生态与应用开发、HarmonyOS应用开发等课程资源</w:t>
            </w:r>
          </w:p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3、平台软件部署，运维、订阅、升级与保障服务3年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autoSpaceDE/>
              <w:autoSpaceDN/>
              <w:adjustRightInd/>
              <w:spacing w:before="312" w:line="240" w:lineRule="auto"/>
              <w:jc w:val="center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widowControl/>
        <w:autoSpaceDE/>
        <w:autoSpaceDN/>
        <w:adjustRightInd/>
        <w:spacing w:line="240" w:lineRule="auto"/>
        <w:rPr>
          <w:rFonts w:hint="eastAsia" w:ascii="宋体" w:hAnsi="宋体" w:cs="宋体"/>
          <w:snapToGrid/>
          <w:color w:val="000000"/>
          <w:sz w:val="24"/>
          <w:szCs w:val="24"/>
        </w:rPr>
      </w:pPr>
      <w:bookmarkStart w:id="0" w:name="_GoBack"/>
      <w:bookmarkEnd w:id="0"/>
    </w:p>
    <w:p>
      <w:pPr>
        <w:spacing w:line="240" w:lineRule="auto"/>
        <w:rPr>
          <w:rFonts w:ascii="微软雅黑" w:hAnsi="微软雅黑" w:eastAsia="微软雅黑"/>
          <w:sz w:val="32"/>
        </w:rPr>
      </w:pPr>
      <w:r>
        <w:rPr>
          <w:rFonts w:hint="eastAsia" w:ascii="微软雅黑" w:hAnsi="微软雅黑" w:eastAsia="微软雅黑"/>
          <w:sz w:val="32"/>
        </w:rPr>
        <w:t>三、实训教学环境设备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6095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napToGrid/>
                <w:color w:val="000000"/>
                <w:sz w:val="24"/>
                <w:szCs w:val="24"/>
              </w:rPr>
              <w:t>设备名称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napToGrid/>
                <w:color w:val="000000"/>
                <w:sz w:val="24"/>
                <w:szCs w:val="24"/>
              </w:rPr>
              <w:t>配置参数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napToGrid/>
                <w:color w:val="000000"/>
                <w:sz w:val="24"/>
                <w:szCs w:val="24"/>
              </w:rPr>
              <w:t>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学生实验桌椅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面和脚采用25mm厚三聚氰胺板饰面，优质PVC全自动机器封边，其它均采用15mm厚三聚氰胺板，优质PVC全自动机器封边，优质五金配件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学生椅：学生椅子圆椅，加厚钢制脚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教师桌椅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尺寸（单人位）：1500mm×841.5mm×750mm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材质：办公桌橡木色，材质选用三胺饰面板，预留线槽、线孔，预留主机位，带主机托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教师椅：可升降办公椅，采用网布+定型海绵面料，钢制五星脚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教师工作站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CPU 12代 Intel i7 12700 处理器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主板 Intel B660芯片组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 xml:space="preserve">内存 16GB DDR4 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主板 Intel B660芯片组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 xml:space="preserve">内存 16GB DDR4 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 xml:space="preserve">硬盘 512GB SSD M.2 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显卡 集成显卡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网卡 10/100/1000M以太网卡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扩展槽 2个M.2 NVME固态硬盘插槽（含已占用）、1个PCIE*16、1个PCIE*1、支持IEEE 802.11a/b/g/n/ac/ax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USB接口 10个USB接口（含Type-C）、前置1个Type-C支持数据传输和对外充电，HDMI1.4接口*2、DP1.4接口*2，支持双频显示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300W电源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Windows正版操作系统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机箱 ≥16L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显示器23.8英寸，分辨率1920*1080，具备低蓝光无频闪护眼功能（提供第三方机构测试报告）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配件： 同品牌抗菌键盘、抗菌鼠标</w:t>
            </w:r>
          </w:p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售后：原厂3年上门服务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学生工作站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CPU 12代 Intel i7 12700 处理器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主板 Intel B660芯片组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 xml:space="preserve">内存 16GB DDR4 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主板 Intel B660芯片组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 xml:space="preserve">内存 16GB DDR4 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 xml:space="preserve">硬盘 512GB SSD M.2 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显卡 集成显卡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网卡 10/100/1000M以太网卡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扩展槽 2个M.2 NVME固态硬盘插槽（含已占用）、1个PCIE*16、1个PCIE*1、支持IEEE 802.11a/b/g/n/ac/ax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USB接口 10个USB接口（含Type-C）、前置1个Type-C支持数据传输和对外充电，HDMI1.4接口*2、DP1.4接口*2，支持双频显示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300W电源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Windows正版操作系统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机箱 ≥16L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显示器23.8英寸，分辨率1920*1080，具备低蓝光无频闪护眼功能（提供第三方机构测试报告）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配件：同品牌抗菌键盘、抗菌鼠标</w:t>
            </w:r>
          </w:p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售后：原厂3年上门服务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千兆以太网交换机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48个10/100/1000BASE-T以太网端口,4个万兆SFP+,单子卡槽位,600W电源*1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交互式智能多媒体教学触控一体机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屏幕尺寸：86寸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可视角度：178°(H)/178°(V)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最大分辨率：3840×2160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显示亮度≥330cd/㎡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对比度≥960：1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操作系统：Android或Windows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CPU≥2 core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GPU≥4 core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RAM≥2G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ROM≥16G</w:t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接口：HDMI、VGA、PC AUDIO IN、USB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实训室综合布线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4"/>
                <w:szCs w:val="24"/>
              </w:rPr>
              <w:t>实训室基础环境建设，包括强弱电路排放、开槽、穿管等服务，网线采用安普原装六类网线，网络面板根据现场情况采用安普单双口模块面板。（需根据学校教室的具体实际环境而定）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</w:tbl>
    <w:p>
      <w:pPr>
        <w:spacing w:line="240" w:lineRule="auto"/>
        <w:rPr>
          <w:rFonts w:hint="eastAsia" w:ascii="微软雅黑" w:hAnsi="微软雅黑" w:eastAsia="微软雅黑"/>
          <w:sz w:val="32"/>
        </w:rPr>
      </w:pPr>
    </w:p>
    <w:sectPr>
      <w:headerReference r:id="rId6" w:type="first"/>
      <w:footerReference r:id="rId8" w:type="first"/>
      <w:headerReference r:id="rId5" w:type="even"/>
      <w:footerReference r:id="rId7" w:type="even"/>
      <w:pgSz w:w="11906" w:h="16838"/>
      <w:pgMar w:top="1312" w:right="1800" w:bottom="1440" w:left="1800" w:header="779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FE570A"/>
    <w:multiLevelType w:val="multilevel"/>
    <w:tmpl w:val="42FE570A"/>
    <w:lvl w:ilvl="0" w:tentative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 w:ascii="Arial" w:hAnsi="Arial" w:eastAsia="黑体"/>
        <w:b w:val="0"/>
        <w:i w:val="0"/>
        <w:sz w:val="36"/>
        <w:szCs w:val="36"/>
      </w:rPr>
    </w:lvl>
    <w:lvl w:ilvl="1" w:tentative="0">
      <w:start w:val="1"/>
      <w:numFmt w:val="decimal"/>
      <w:suff w:val="nothing"/>
      <w:lvlText w:val="%1.%2  "/>
      <w:lvlJc w:val="left"/>
      <w:pPr>
        <w:ind w:left="0" w:firstLine="0"/>
      </w:pPr>
      <w:rPr>
        <w:rFonts w:hint="default" w:ascii="Arial" w:hAnsi="Arial"/>
        <w:b w:val="0"/>
        <w:i w:val="0"/>
        <w:sz w:val="30"/>
        <w:szCs w:val="30"/>
      </w:rPr>
    </w:lvl>
    <w:lvl w:ilvl="2" w:tentative="0">
      <w:start w:val="1"/>
      <w:numFmt w:val="decimal"/>
      <w:suff w:val="nothing"/>
      <w:lvlText w:val="%1.%2.%3  "/>
      <w:lvlJc w:val="left"/>
      <w:pPr>
        <w:ind w:left="0" w:firstLine="0"/>
      </w:pPr>
      <w:rPr>
        <w:rFonts w:hint="default" w:ascii="Arial" w:hAnsi="Arial"/>
        <w:b w:val="0"/>
        <w:i w:val="0"/>
        <w:sz w:val="24"/>
        <w:szCs w:val="24"/>
      </w:rPr>
    </w:lvl>
    <w:lvl w:ilvl="3" w:tentative="0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default" w:ascii="Arial" w:hAnsi="Arial"/>
        <w:b w:val="0"/>
        <w:i w:val="0"/>
        <w:sz w:val="21"/>
        <w:szCs w:val="21"/>
      </w:rPr>
    </w:lvl>
    <w:lvl w:ilvl="4" w:tentative="0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5" w:tentative="0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6" w:tentative="0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7" w:tentative="0">
      <w:start w:val="1"/>
      <w:numFmt w:val="decimal"/>
      <w:lvlRestart w:val="0"/>
      <w:pStyle w:val="15"/>
      <w:suff w:val="space"/>
      <w:lvlText w:val="图%8"/>
      <w:lvlJc w:val="center"/>
      <w:pPr>
        <w:ind w:left="0" w:firstLine="0"/>
      </w:pPr>
      <w:rPr>
        <w:rFonts w:hint="default" w:ascii="Arial" w:hAnsi="Arial" w:eastAsia="黑体"/>
        <w:b w:val="0"/>
        <w:i w:val="0"/>
        <w:sz w:val="18"/>
        <w:szCs w:val="18"/>
      </w:rPr>
    </w:lvl>
    <w:lvl w:ilvl="8" w:tentative="0">
      <w:start w:val="1"/>
      <w:numFmt w:val="decimal"/>
      <w:lvlRestart w:val="0"/>
      <w:pStyle w:val="11"/>
      <w:suff w:val="space"/>
      <w:lvlText w:val="表%9"/>
      <w:lvlJc w:val="center"/>
      <w:pPr>
        <w:ind w:left="0" w:firstLine="0"/>
      </w:pPr>
      <w:rPr>
        <w:rFonts w:hint="default" w:ascii="Arial" w:hAnsi="Arial" w:eastAsia="黑体"/>
        <w:b w:val="0"/>
        <w:i w:val="0"/>
        <w:sz w:val="18"/>
        <w:szCs w:val="18"/>
      </w:rPr>
    </w:lvl>
  </w:abstractNum>
  <w:abstractNum w:abstractNumId="1">
    <w:nsid w:val="63546429"/>
    <w:multiLevelType w:val="multilevel"/>
    <w:tmpl w:val="63546429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4" w:tentative="0">
      <w:start w:val="1"/>
      <w:numFmt w:val="decimal"/>
      <w:lvlText w:val="%5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5" w:tentative="0">
      <w:start w:val="1"/>
      <w:numFmt w:val="lowerLetter"/>
      <w:lvlText w:val="%6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6" w:tentative="0">
      <w:start w:val="1"/>
      <w:numFmt w:val="lowerRoman"/>
      <w:lvlText w:val="%7"/>
      <w:lvlJc w:val="left"/>
      <w:pPr>
        <w:tabs>
          <w:tab w:val="left" w:pos="567"/>
        </w:tabs>
        <w:ind w:left="936" w:hanging="6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FhNTg1NTVlMjdmNWM1MThkODNlZDg2MjQzMzZhMTQifQ=="/>
  </w:docVars>
  <w:rsids>
    <w:rsidRoot w:val="007162BA"/>
    <w:rsid w:val="00035469"/>
    <w:rsid w:val="0012175A"/>
    <w:rsid w:val="00152B8F"/>
    <w:rsid w:val="001D766B"/>
    <w:rsid w:val="00241BD5"/>
    <w:rsid w:val="0028646B"/>
    <w:rsid w:val="002E0811"/>
    <w:rsid w:val="003055E4"/>
    <w:rsid w:val="00307760"/>
    <w:rsid w:val="00322719"/>
    <w:rsid w:val="00425F62"/>
    <w:rsid w:val="0052233A"/>
    <w:rsid w:val="00634265"/>
    <w:rsid w:val="007162BA"/>
    <w:rsid w:val="0075012D"/>
    <w:rsid w:val="00775BB5"/>
    <w:rsid w:val="00780144"/>
    <w:rsid w:val="009A4AC8"/>
    <w:rsid w:val="00B86768"/>
    <w:rsid w:val="00C53AFA"/>
    <w:rsid w:val="00D16C4C"/>
    <w:rsid w:val="00D87114"/>
    <w:rsid w:val="00E46C4C"/>
    <w:rsid w:val="00EE2438"/>
    <w:rsid w:val="00EE58DB"/>
    <w:rsid w:val="00FD52B5"/>
    <w:rsid w:val="00FF77C6"/>
    <w:rsid w:val="5F08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eastAsia="宋体" w:cs="Times New Roman"/>
      <w:snapToGrid w:val="0"/>
      <w:sz w:val="21"/>
      <w:szCs w:val="21"/>
      <w:lang w:val="en-US" w:eastAsia="zh-CN" w:bidi="ar-SA"/>
    </w:rPr>
  </w:style>
  <w:style w:type="paragraph" w:styleId="2">
    <w:name w:val="heading 1"/>
    <w:next w:val="3"/>
    <w:qFormat/>
    <w:uiPriority w:val="0"/>
    <w:pPr>
      <w:keepNext/>
      <w:numPr>
        <w:ilvl w:val="0"/>
        <w:numId w:val="1"/>
      </w:numPr>
      <w:spacing w:before="240" w:after="240"/>
      <w:jc w:val="both"/>
      <w:outlineLvl w:val="0"/>
    </w:pPr>
    <w:rPr>
      <w:rFonts w:ascii="Arial" w:hAnsi="Arial" w:eastAsia="黑体" w:cs="Times New Roman"/>
      <w:b/>
      <w:sz w:val="32"/>
      <w:szCs w:val="32"/>
      <w:lang w:val="en-US" w:eastAsia="zh-CN" w:bidi="ar-SA"/>
    </w:rPr>
  </w:style>
  <w:style w:type="paragraph" w:styleId="3">
    <w:name w:val="heading 2"/>
    <w:next w:val="1"/>
    <w:qFormat/>
    <w:uiPriority w:val="0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hAnsi="Arial" w:eastAsia="黑体" w:cs="Times New Roman"/>
      <w:sz w:val="24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4"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qFormat/>
    <w:uiPriority w:val="0"/>
    <w:pPr>
      <w:tabs>
        <w:tab w:val="center" w:pos="4510"/>
        <w:tab w:val="right" w:pos="9020"/>
      </w:tabs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styleId="7">
    <w:name w:val="header"/>
    <w:qFormat/>
    <w:uiPriority w:val="0"/>
    <w:pPr>
      <w:tabs>
        <w:tab w:val="center" w:pos="4153"/>
        <w:tab w:val="right" w:pos="8306"/>
      </w:tabs>
      <w:snapToGrid w:val="0"/>
      <w:jc w:val="both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table" w:styleId="9">
    <w:name w:val="Table Grid"/>
    <w:basedOn w:val="8"/>
    <w:qFormat/>
    <w:uiPriority w:val="0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表格题注"/>
    <w:next w:val="1"/>
    <w:qFormat/>
    <w:uiPriority w:val="0"/>
    <w:pPr>
      <w:keepLines/>
      <w:numPr>
        <w:ilvl w:val="8"/>
        <w:numId w:val="2"/>
      </w:numPr>
      <w:spacing w:beforeLines="100"/>
      <w:ind w:left="1089" w:hanging="369"/>
      <w:jc w:val="center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customStyle="1" w:styleId="12">
    <w:name w:val="表格文本"/>
    <w:qFormat/>
    <w:uiPriority w:val="0"/>
    <w:pPr>
      <w:tabs>
        <w:tab w:val="decimal" w:pos="0"/>
      </w:tabs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paragraph" w:customStyle="1" w:styleId="13">
    <w:name w:val="表头文本"/>
    <w:uiPriority w:val="0"/>
    <w:pPr>
      <w:jc w:val="center"/>
    </w:pPr>
    <w:rPr>
      <w:rFonts w:ascii="Arial" w:hAnsi="Arial" w:eastAsia="宋体" w:cs="Times New Roman"/>
      <w:b/>
      <w:sz w:val="21"/>
      <w:szCs w:val="21"/>
      <w:lang w:val="en-US" w:eastAsia="zh-CN" w:bidi="ar-SA"/>
    </w:rPr>
  </w:style>
  <w:style w:type="table" w:customStyle="1" w:styleId="14">
    <w:name w:val="表样式"/>
    <w:basedOn w:val="8"/>
    <w:qFormat/>
    <w:uiPriority w:val="0"/>
    <w:pPr>
      <w:jc w:val="both"/>
    </w:pPr>
    <w:rPr>
      <w:sz w:val="18"/>
      <w:szCs w:val="1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  <w:vAlign w:val="center"/>
    </w:tcPr>
  </w:style>
  <w:style w:type="paragraph" w:customStyle="1" w:styleId="15">
    <w:name w:val="插图题注"/>
    <w:next w:val="1"/>
    <w:uiPriority w:val="0"/>
    <w:pPr>
      <w:numPr>
        <w:ilvl w:val="7"/>
        <w:numId w:val="2"/>
      </w:numPr>
      <w:spacing w:afterLines="100"/>
      <w:ind w:left="1089" w:hanging="369"/>
      <w:jc w:val="center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customStyle="1" w:styleId="16">
    <w:name w:val="图样式"/>
    <w:basedOn w:val="1"/>
    <w:uiPriority w:val="0"/>
    <w:pPr>
      <w:keepNext/>
      <w:widowControl/>
      <w:spacing w:before="80" w:after="80"/>
      <w:jc w:val="center"/>
    </w:pPr>
  </w:style>
  <w:style w:type="paragraph" w:customStyle="1" w:styleId="17">
    <w:name w:val="文档标题"/>
    <w:basedOn w:val="1"/>
    <w:qFormat/>
    <w:uiPriority w:val="0"/>
    <w:pPr>
      <w:tabs>
        <w:tab w:val="left" w:pos="0"/>
      </w:tabs>
      <w:spacing w:before="300" w:after="300"/>
      <w:jc w:val="center"/>
    </w:pPr>
    <w:rPr>
      <w:rFonts w:ascii="Arial" w:hAnsi="Arial" w:eastAsia="黑体"/>
      <w:sz w:val="36"/>
      <w:szCs w:val="36"/>
    </w:rPr>
  </w:style>
  <w:style w:type="paragraph" w:customStyle="1" w:styleId="18">
    <w:name w:val="正文（首行不缩进）"/>
    <w:basedOn w:val="1"/>
    <w:qFormat/>
    <w:uiPriority w:val="0"/>
  </w:style>
  <w:style w:type="paragraph" w:customStyle="1" w:styleId="19">
    <w:name w:val="注示头"/>
    <w:basedOn w:val="1"/>
    <w:uiPriority w:val="0"/>
    <w:pPr>
      <w:pBdr>
        <w:top w:val="single" w:color="000000" w:sz="4" w:space="1"/>
      </w:pBdr>
      <w:jc w:val="both"/>
    </w:pPr>
    <w:rPr>
      <w:rFonts w:ascii="Arial" w:hAnsi="Arial" w:eastAsia="黑体"/>
      <w:sz w:val="18"/>
    </w:rPr>
  </w:style>
  <w:style w:type="paragraph" w:customStyle="1" w:styleId="20">
    <w:name w:val="注示文本"/>
    <w:basedOn w:val="1"/>
    <w:qFormat/>
    <w:uiPriority w:val="0"/>
    <w:pPr>
      <w:pBdr>
        <w:bottom w:val="single" w:color="000000" w:sz="4" w:space="1"/>
      </w:pBdr>
      <w:ind w:firstLine="360"/>
      <w:jc w:val="both"/>
    </w:pPr>
    <w:rPr>
      <w:rFonts w:ascii="Arial" w:hAnsi="Arial" w:eastAsia="楷体_GB2312"/>
      <w:sz w:val="18"/>
      <w:szCs w:val="18"/>
    </w:rPr>
  </w:style>
  <w:style w:type="paragraph" w:customStyle="1" w:styleId="21">
    <w:name w:val="编写建议"/>
    <w:basedOn w:val="1"/>
    <w:qFormat/>
    <w:uiPriority w:val="0"/>
    <w:pPr>
      <w:ind w:firstLine="420"/>
    </w:pPr>
    <w:rPr>
      <w:rFonts w:ascii="Arial" w:hAnsi="Arial" w:cs="Arial"/>
      <w:i/>
      <w:color w:val="0000FF"/>
    </w:rPr>
  </w:style>
  <w:style w:type="character" w:customStyle="1" w:styleId="22">
    <w:name w:val="样式一"/>
    <w:basedOn w:val="10"/>
    <w:qFormat/>
    <w:uiPriority w:val="0"/>
    <w:rPr>
      <w:rFonts w:ascii="宋体" w:hAnsi="宋体"/>
      <w:b/>
      <w:bCs/>
      <w:color w:val="000000"/>
      <w:sz w:val="36"/>
    </w:rPr>
  </w:style>
  <w:style w:type="character" w:customStyle="1" w:styleId="23">
    <w:name w:val="样式二"/>
    <w:basedOn w:val="22"/>
    <w:qFormat/>
    <w:uiPriority w:val="0"/>
    <w:rPr>
      <w:rFonts w:ascii="宋体" w:hAnsi="宋体"/>
      <w:color w:val="000000"/>
      <w:sz w:val="36"/>
    </w:rPr>
  </w:style>
  <w:style w:type="character" w:customStyle="1" w:styleId="24">
    <w:name w:val="批注框文本 字符"/>
    <w:basedOn w:val="10"/>
    <w:link w:val="5"/>
    <w:qFormat/>
    <w:uiPriority w:val="0"/>
    <w:rPr>
      <w:snapToGrid w:val="0"/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x690449\Desktop\OFFICE\Templet\office\office\Office%20&#27169;&#26495;&#65288;&#20013;&#25991;&#65289;\DOC\Word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A328-1367-41D8-B456-1AADC1E232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模板.dotx</Template>
  <Company>Huawei Technologies Co.,Ltd.</Company>
  <Pages>4</Pages>
  <Words>1920</Words>
  <Characters>2760</Characters>
  <Lines>21</Lines>
  <Paragraphs>6</Paragraphs>
  <TotalTime>46</TotalTime>
  <ScaleCrop>false</ScaleCrop>
  <LinksUpToDate>false</LinksUpToDate>
  <CharactersWithSpaces>2851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2019-07-19T03:06:00Z</dcterms:created>
  <dc:creator>wudefu</dc:creator>
  <cp:lastModifiedBy>馨</cp:lastModifiedBy>
  <dcterms:modified xsi:type="dcterms:W3CDTF">2022-11-22T04:49:28Z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(3)TYdIYfmXT9P3TmoXVuTyuN8X+mugue0+XvEW+DHDwHSMvhSPo1nDX8z4oZfVun5yWyQciKHt
u67e5BfVLYSBOazicqxHb1HyxjcL6oSr6PU9jKDEPgOaLwAGmAz7Ay5wmMVXh9q8iJYO8h3+
TwYyws+a0/bEXd06JZvYamPCyyoE7ea9juZZTGLcgfBKimsH/Yf76WqKwsOUCvd6qU+f1B2S
d6YtFi/dHekLZiTUmZ</vt:lpwstr>
  </property>
  <property fmtid="{D5CDD505-2E9C-101B-9397-08002B2CF9AE}" pid="7" name="_2015_ms_pID_7253431">
    <vt:lpwstr>CEogaIcGkVtoh6ibtWCVBk4vnhwajL61G9iQc7zLxemKPOdS2JWTd8
jKa6L+s/f3jvWE1G5/qD3cnHWH21e7R4dQwxxcigTe5OOdPNCb/FC/zUA/bsWuPHzz0WpuRM
RoMC7jhTWuX+uHfgCAmNC8H24PEDku5J/Pedl7E0t4+MQE4Nt/2595GGB0yM39/kQ/5HXE38
5pt09ZzUWqlbC9qidPLcuB+mvKxdGZSD1QBR</vt:lpwstr>
  </property>
  <property fmtid="{D5CDD505-2E9C-101B-9397-08002B2CF9AE}" pid="8" name="_2015_ms_pID_7253432">
    <vt:lpwstr>vg==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1540624028</vt:lpwstr>
  </property>
  <property fmtid="{D5CDD505-2E9C-101B-9397-08002B2CF9AE}" pid="13" name="KSOProductBuildVer">
    <vt:lpwstr>2052-11.1.0.12598</vt:lpwstr>
  </property>
  <property fmtid="{D5CDD505-2E9C-101B-9397-08002B2CF9AE}" pid="14" name="ICV">
    <vt:lpwstr>13DC6F47EE4F4CB9BCEBBDEF483C1F04</vt:lpwstr>
  </property>
</Properties>
</file>