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7207B">
      <w:pPr>
        <w:pStyle w:val="2"/>
        <w:numPr>
          <w:ilvl w:val="0"/>
          <w:numId w:val="0"/>
        </w:numPr>
        <w:bidi w:val="0"/>
        <w:jc w:val="both"/>
        <w:rPr>
          <w:rFonts w:hint="eastAsia" w:ascii="仿宋" w:hAnsi="仿宋" w:eastAsia="仿宋" w:cs="Helvetica"/>
          <w:b w:val="0"/>
          <w:bCs w:val="0"/>
          <w:spacing w:val="14"/>
          <w:kern w:val="0"/>
          <w:sz w:val="28"/>
          <w:szCs w:val="28"/>
          <w:lang w:val="en-US" w:eastAsia="zh-CN"/>
        </w:rPr>
      </w:pPr>
      <w:r>
        <w:rPr>
          <w:rFonts w:hint="eastAsia" w:ascii="仿宋" w:hAnsi="仿宋" w:eastAsia="仿宋" w:cs="Helvetica"/>
          <w:b w:val="0"/>
          <w:bCs w:val="0"/>
          <w:spacing w:val="14"/>
          <w:kern w:val="0"/>
          <w:sz w:val="28"/>
          <w:szCs w:val="28"/>
          <w:lang w:eastAsia="zh-CN"/>
        </w:rPr>
        <w:t>附件</w:t>
      </w:r>
      <w:r>
        <w:rPr>
          <w:rFonts w:hint="eastAsia" w:ascii="仿宋" w:hAnsi="仿宋" w:eastAsia="仿宋" w:cs="Helvetica"/>
          <w:b w:val="0"/>
          <w:bCs w:val="0"/>
          <w:spacing w:val="14"/>
          <w:kern w:val="0"/>
          <w:sz w:val="28"/>
          <w:szCs w:val="28"/>
          <w:lang w:val="en-US" w:eastAsia="zh-CN"/>
        </w:rPr>
        <w:t>2：</w:t>
      </w:r>
    </w:p>
    <w:p w14:paraId="49EB80C4">
      <w:pPr>
        <w:pStyle w:val="4"/>
        <w:keepNext w:val="0"/>
        <w:keepLines w:val="0"/>
        <w:pageBreakBefore w:val="0"/>
        <w:kinsoku/>
        <w:wordWrap/>
        <w:overflowPunct/>
        <w:topLinePunct w:val="0"/>
        <w:autoSpaceDE/>
        <w:autoSpaceDN/>
        <w:bidi w:val="0"/>
        <w:snapToGrid/>
        <w:ind w:left="0" w:leftChars="0" w:firstLine="0" w:firstLineChars="0"/>
        <w:jc w:val="center"/>
        <w:outlineLvl w:val="9"/>
        <w:rPr>
          <w:rFonts w:hint="eastAsia" w:ascii="方正小标宋简体" w:hAnsi="方正小标宋简体" w:eastAsia="方正小标宋简体" w:cs="方正小标宋简体"/>
          <w:b w:val="0"/>
          <w:bCs w:val="0"/>
          <w:kern w:val="2"/>
          <w:sz w:val="48"/>
          <w:szCs w:val="48"/>
          <w:lang w:val="en-US" w:eastAsia="zh-CN" w:bidi="ar-SA"/>
        </w:rPr>
      </w:pPr>
      <w:bookmarkStart w:id="0" w:name="_Toc22307"/>
    </w:p>
    <w:p w14:paraId="6A891536">
      <w:pPr>
        <w:rPr>
          <w:rFonts w:ascii="楷体" w:hAnsi="楷体" w:eastAsia="楷体"/>
        </w:rPr>
      </w:pPr>
    </w:p>
    <w:p w14:paraId="2F5D01AE">
      <w:pPr>
        <w:pStyle w:val="10"/>
        <w:spacing w:line="576" w:lineRule="exact"/>
        <w:outlineLvl w:val="0"/>
        <w:rPr>
          <w:rFonts w:hint="eastAsia" w:ascii="方正小标宋简体" w:hAnsi="方正小标宋简体" w:eastAsia="方正小标宋简体" w:cs="方正小标宋简体"/>
          <w:sz w:val="44"/>
          <w:szCs w:val="44"/>
        </w:rPr>
      </w:pPr>
      <w:bookmarkStart w:id="51" w:name="_GoBack"/>
      <w:r>
        <w:rPr>
          <w:rFonts w:hint="eastAsia" w:ascii="方正小标宋简体" w:hAnsi="方正小标宋简体" w:eastAsia="方正小标宋简体" w:cs="方正小标宋简体"/>
          <w:sz w:val="44"/>
          <w:szCs w:val="44"/>
        </w:rPr>
        <w:t>贵州省职业教育“技能贵州”行动计划</w:t>
      </w:r>
    </w:p>
    <w:p w14:paraId="2EBA4FBA">
      <w:pPr>
        <w:pStyle w:val="10"/>
        <w:spacing w:line="576" w:lineRule="exact"/>
        <w:outlineLvl w:val="0"/>
        <w:rPr>
          <w:rFonts w:hint="eastAsia" w:ascii="方正小标宋简体" w:hAnsi="方正小标宋简体" w:eastAsia="方正小标宋简体" w:cs="方正小标宋简体"/>
          <w:sz w:val="44"/>
          <w:szCs w:val="44"/>
          <w:lang w:eastAsia="zh-CN"/>
        </w:rPr>
      </w:pPr>
      <w:bookmarkStart w:id="1" w:name="_Toc24239"/>
      <w:r>
        <w:rPr>
          <w:rFonts w:hint="eastAsia"/>
          <w:szCs w:val="44"/>
        </w:rPr>
        <w:t>省级一流核心课程</w:t>
      </w:r>
      <w:r>
        <w:rPr>
          <w:rFonts w:hint="eastAsia" w:ascii="方正小标宋简体" w:hAnsi="方正小标宋简体" w:eastAsia="方正小标宋简体" w:cs="方正小标宋简体"/>
          <w:sz w:val="44"/>
          <w:szCs w:val="44"/>
        </w:rPr>
        <w:t>项目</w:t>
      </w:r>
      <w:r>
        <w:rPr>
          <w:rFonts w:hint="eastAsia" w:hAnsi="方正小标宋简体" w:cs="方正小标宋简体"/>
          <w:bCs/>
          <w:sz w:val="44"/>
          <w:szCs w:val="44"/>
          <w:lang w:val="en-US" w:eastAsia="zh-CN"/>
        </w:rPr>
        <w:t>建设方案</w:t>
      </w:r>
      <w:bookmarkEnd w:id="51"/>
      <w:bookmarkEnd w:id="1"/>
    </w:p>
    <w:p w14:paraId="07695911">
      <w:pPr>
        <w:tabs>
          <w:tab w:val="left" w:pos="5685"/>
        </w:tabs>
        <w:spacing w:before="156" w:beforeLines="50" w:after="156" w:afterLines="50" w:line="480" w:lineRule="auto"/>
        <w:ind w:left="420" w:firstLine="420"/>
        <w:jc w:val="center"/>
        <w:rPr>
          <w:rFonts w:ascii="黑体" w:hAnsi="黑体" w:eastAsia="黑体"/>
          <w:sz w:val="28"/>
        </w:rPr>
      </w:pPr>
    </w:p>
    <w:p w14:paraId="7CABE6A4">
      <w:pPr>
        <w:tabs>
          <w:tab w:val="left" w:pos="5685"/>
        </w:tabs>
        <w:spacing w:before="156" w:beforeLines="50" w:after="156" w:afterLines="50" w:line="480" w:lineRule="auto"/>
        <w:ind w:left="420" w:firstLine="420"/>
        <w:jc w:val="center"/>
        <w:rPr>
          <w:rFonts w:ascii="黑体" w:hAnsi="黑体" w:eastAsia="黑体"/>
          <w:sz w:val="28"/>
        </w:rPr>
      </w:pPr>
    </w:p>
    <w:p w14:paraId="1681ED19">
      <w:pPr>
        <w:tabs>
          <w:tab w:val="left" w:pos="5685"/>
        </w:tabs>
        <w:spacing w:before="156" w:beforeLines="50" w:after="156" w:afterLines="50" w:line="480" w:lineRule="auto"/>
        <w:ind w:left="420" w:firstLine="420"/>
        <w:jc w:val="center"/>
        <w:rPr>
          <w:rFonts w:ascii="黑体" w:hAnsi="黑体" w:eastAsia="黑体"/>
          <w:sz w:val="28"/>
        </w:rPr>
      </w:pPr>
    </w:p>
    <w:p w14:paraId="4DFF38DA">
      <w:pPr>
        <w:tabs>
          <w:tab w:val="left" w:pos="5685"/>
        </w:tabs>
        <w:spacing w:before="156" w:beforeLines="50" w:after="156" w:afterLines="50" w:line="480" w:lineRule="auto"/>
        <w:ind w:left="420" w:firstLine="420"/>
        <w:jc w:val="center"/>
        <w:rPr>
          <w:rFonts w:ascii="黑体" w:hAnsi="黑体" w:eastAsia="黑体"/>
          <w:sz w:val="28"/>
        </w:rPr>
      </w:pPr>
    </w:p>
    <w:p w14:paraId="3D02393B">
      <w:pPr>
        <w:tabs>
          <w:tab w:val="left" w:pos="5685"/>
        </w:tabs>
        <w:spacing w:before="156" w:beforeLines="50" w:after="156" w:afterLines="50" w:line="480" w:lineRule="auto"/>
        <w:ind w:left="420" w:firstLine="420"/>
        <w:jc w:val="left"/>
        <w:rPr>
          <w:rFonts w:hint="default" w:ascii="黑体" w:hAnsi="黑体" w:eastAsia="黑体"/>
          <w:sz w:val="28"/>
          <w:lang w:val="en-US" w:eastAsia="zh-CN"/>
        </w:rPr>
      </w:pPr>
      <w:r>
        <w:rPr>
          <w:color w:val="000000"/>
        </w:rPr>
        <mc:AlternateContent>
          <mc:Choice Requires="wps">
            <w:drawing>
              <wp:anchor distT="0" distB="0" distL="114300" distR="114300" simplePos="0" relativeHeight="251664384" behindDoc="0" locked="0" layoutInCell="1" allowOverlap="1">
                <wp:simplePos x="0" y="0"/>
                <wp:positionH relativeFrom="column">
                  <wp:posOffset>1578610</wp:posOffset>
                </wp:positionH>
                <wp:positionV relativeFrom="paragraph">
                  <wp:posOffset>288925</wp:posOffset>
                </wp:positionV>
                <wp:extent cx="3295650"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a:xfrm flipV="1">
                          <a:off x="0" y="0"/>
                          <a:ext cx="3295650"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flip:y;margin-left:124.3pt;margin-top:22.75pt;height:0.05pt;width:259.5pt;z-index:251664384;mso-width-relative:page;mso-height-relative:page;" filled="f" stroked="t" coordsize="21600,21600" o:gfxdata="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0nfpnaAAAACQEAAA8A&#10;AAAAAAAAAQAgAAAAIgAAAGRycy9kb3ducmV2LnhtbFBLAQIUABQAAAAIAIdO4kBSS3H0FQIAABAE&#10;AAAOAAAAAAAAAAEAIAAAACkBAABkcnMvZTJvRG9jLnhtbFBLBQYAAAAABgAGAFkBAACwBQAAAAA=&#10;">
                <v:fill on="f" focussize="0,0"/>
                <v:stroke weight="0.737007874015748pt" color="#000000" joinstyle="round"/>
                <v:imagedata o:title=""/>
                <o:lock v:ext="edit" aspectratio="f"/>
              </v:line>
            </w:pict>
          </mc:Fallback>
        </mc:AlternateContent>
      </w:r>
      <w:r>
        <w:rPr>
          <w:rFonts w:hint="eastAsia" w:ascii="黑体" w:hAnsi="黑体" w:eastAsia="黑体"/>
          <w:sz w:val="28"/>
        </w:rPr>
        <w:t>申 报 学 校</w:t>
      </w:r>
      <w:r>
        <w:rPr>
          <w:rFonts w:hint="eastAsia" w:ascii="黑体" w:hAnsi="黑体" w:eastAsia="黑体"/>
          <w:sz w:val="28"/>
          <w:lang w:val="en-US" w:eastAsia="zh-CN"/>
        </w:rPr>
        <w:t xml:space="preserve">         毕节工业职业技术学院</w:t>
      </w:r>
    </w:p>
    <w:p w14:paraId="574E7444">
      <w:pPr>
        <w:tabs>
          <w:tab w:val="left" w:pos="5685"/>
        </w:tabs>
        <w:spacing w:before="156" w:beforeLines="50" w:after="156" w:afterLines="50" w:line="480" w:lineRule="auto"/>
        <w:ind w:left="420" w:firstLine="420"/>
        <w:jc w:val="left"/>
        <w:rPr>
          <w:rFonts w:hint="default" w:ascii="黑体" w:hAnsi="黑体" w:eastAsia="黑体"/>
          <w:sz w:val="28"/>
          <w:lang w:val="en-US" w:eastAsia="zh-CN"/>
        </w:rPr>
      </w:pPr>
      <w:r>
        <w:rPr>
          <w:rFonts w:ascii="黑体" w:hAnsi="黑体" w:eastAsia="黑体"/>
          <w:sz w:val="28"/>
        </w:rPr>
        <mc:AlternateContent>
          <mc:Choice Requires="wps">
            <w:drawing>
              <wp:anchor distT="0" distB="0" distL="114300" distR="114300" simplePos="0" relativeHeight="251663360" behindDoc="0" locked="0" layoutInCell="1" allowOverlap="1">
                <wp:simplePos x="0" y="0"/>
                <wp:positionH relativeFrom="column">
                  <wp:posOffset>1540510</wp:posOffset>
                </wp:positionH>
                <wp:positionV relativeFrom="paragraph">
                  <wp:posOffset>289560</wp:posOffset>
                </wp:positionV>
                <wp:extent cx="328104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a:xfrm>
                          <a:off x="0" y="0"/>
                          <a:ext cx="3281045"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121.3pt;margin-top:22.8pt;height:0.05pt;width:258.35pt;z-index:251663360;mso-width-relative:page;mso-height-relative:page;" filled="f" stroked="t" coordsize="21600,21600" o:gfxdata="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4nnpdgAAAAJAQAADwAAAAAAAAAB&#10;ACAAAAAiAAAAZHJzL2Rvd25yZXYueG1sUEsBAhQAFAAAAAgAh07iQAP2Pk8QAgAABgQAAA4AAAAA&#10;AAAAAQAgAAAAJwEAAGRycy9lMm9Eb2MueG1sUEsFBgAAAAAGAAYAWQEAAKkFAAAAAA==&#10;">
                <v:fill on="f" focussize="0,0"/>
                <v:stroke weight="0.737007874015748pt" color="#000000" joinstyle="round"/>
                <v:imagedata o:title=""/>
                <o:lock v:ext="edit" aspectratio="f"/>
              </v:line>
            </w:pict>
          </mc:Fallback>
        </mc:AlternateContent>
      </w:r>
      <w:r>
        <w:rPr>
          <w:color w:val="000000"/>
        </w:rPr>
        <mc:AlternateContent>
          <mc:Choice Requires="wps">
            <w:drawing>
              <wp:anchor distT="0" distB="0" distL="114300" distR="114300" simplePos="0" relativeHeight="251659264" behindDoc="0" locked="0" layoutInCell="1" allowOverlap="1">
                <wp:simplePos x="0" y="0"/>
                <wp:positionH relativeFrom="column">
                  <wp:posOffset>1578610</wp:posOffset>
                </wp:positionH>
                <wp:positionV relativeFrom="paragraph">
                  <wp:posOffset>288925</wp:posOffset>
                </wp:positionV>
                <wp:extent cx="329565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a:xfrm flipV="1">
                          <a:off x="0" y="0"/>
                          <a:ext cx="3295650"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flip:y;margin-left:124.3pt;margin-top:22.75pt;height:0.05pt;width:259.5pt;z-index:251659264;mso-width-relative:page;mso-height-relative:page;" filled="f" stroked="t" coordsize="21600,21600" o:gfxdata="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Sd+mdoAAAAJAQAA&#10;DwAAAAAAAAABACAAAAAiAAAAZHJzL2Rvd25yZXYueG1sUEsBAhQAFAAAAAgAh07iQFbzgJIXAgAA&#10;EAQAAA4AAAAAAAAAAQAgAAAAKQEAAGRycy9lMm9Eb2MueG1sUEsFBgAAAAAGAAYAWQEAALIFAAAA&#10;AA==&#10;">
                <v:fill on="f" focussize="0,0"/>
                <v:stroke weight="0.737007874015748pt" color="#000000" joinstyle="round"/>
                <v:imagedata o:title=""/>
                <o:lock v:ext="edit" aspectratio="f"/>
              </v:line>
            </w:pict>
          </mc:Fallback>
        </mc:AlternateContent>
      </w:r>
      <w:r>
        <w:rPr>
          <w:rFonts w:ascii="黑体" w:hAnsi="黑体" w:eastAsia="黑体"/>
          <w:sz w:val="28"/>
        </w:rPr>
        <w:t>课</w:t>
      </w:r>
      <w:r>
        <w:rPr>
          <w:rFonts w:hint="eastAsia" w:ascii="黑体" w:hAnsi="黑体" w:eastAsia="黑体"/>
          <w:sz w:val="28"/>
          <w:lang w:val="en-US" w:eastAsia="zh-CN"/>
        </w:rPr>
        <w:t xml:space="preserve"> </w:t>
      </w:r>
      <w:r>
        <w:rPr>
          <w:rFonts w:ascii="黑体" w:hAnsi="黑体" w:eastAsia="黑体"/>
          <w:sz w:val="28"/>
        </w:rPr>
        <w:t>程</w:t>
      </w:r>
      <w:r>
        <w:rPr>
          <w:rFonts w:hint="eastAsia" w:ascii="黑体" w:hAnsi="黑体" w:eastAsia="黑体"/>
          <w:sz w:val="28"/>
        </w:rPr>
        <w:t xml:space="preserve"> 名 </w:t>
      </w:r>
      <w:r>
        <w:rPr>
          <w:rFonts w:ascii="黑体" w:hAnsi="黑体" w:eastAsia="黑体"/>
          <w:sz w:val="28"/>
        </w:rPr>
        <w:t>称</w:t>
      </w:r>
      <w:r>
        <w:rPr>
          <w:rFonts w:hint="eastAsia" w:ascii="黑体" w:hAnsi="黑体" w:eastAsia="黑体"/>
          <w:sz w:val="28"/>
          <w:lang w:val="en-US" w:eastAsia="zh-CN"/>
        </w:rPr>
        <w:t xml:space="preserve">           《煤矿安全技术》</w:t>
      </w:r>
    </w:p>
    <w:p w14:paraId="348A0B97">
      <w:pPr>
        <w:tabs>
          <w:tab w:val="left" w:pos="5685"/>
        </w:tabs>
        <w:spacing w:before="156" w:beforeLines="50" w:after="156" w:afterLines="50" w:line="480" w:lineRule="auto"/>
        <w:ind w:left="420" w:firstLine="420"/>
        <w:jc w:val="left"/>
        <w:rPr>
          <w:rFonts w:hint="default" w:ascii="黑体" w:hAnsi="黑体" w:eastAsia="黑体"/>
          <w:spacing w:val="17"/>
          <w:sz w:val="28"/>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1540510</wp:posOffset>
                </wp:positionH>
                <wp:positionV relativeFrom="paragraph">
                  <wp:posOffset>289560</wp:posOffset>
                </wp:positionV>
                <wp:extent cx="328104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a:xfrm>
                          <a:off x="0" y="0"/>
                          <a:ext cx="3281045"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121.3pt;margin-top:22.8pt;height:0.05pt;width:258.35pt;z-index:251660288;mso-width-relative:page;mso-height-relative:page;" filled="f" stroked="t" coordsize="21600,21600" o:gfxdata="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4nnpdgAAAAJAQAADwAAAAAAAAAB&#10;ACAAAAAiAAAAZHJzL2Rvd25yZXYueG1sUEsBAhQAFAAAAAgAh07iQAVvOe8QAgAABgQAAA4AAAAA&#10;AAAAAQAgAAAAJwEAAGRycy9lMm9Eb2MueG1sUEsFBgAAAAAGAAYAWQEAAKkFAAAAAA==&#10;">
                <v:fill on="f" focussize="0,0"/>
                <v:stroke weight="0.737007874015748pt" color="#000000" joinstyle="round"/>
                <v:imagedata o:title=""/>
                <o:lock v:ext="edit" aspectratio="f"/>
              </v:line>
            </w:pict>
          </mc:Fallback>
        </mc:AlternateContent>
      </w:r>
      <w:r>
        <w:rPr>
          <w:rFonts w:ascii="黑体" w:hAnsi="黑体" w:eastAsia="黑体"/>
          <w:spacing w:val="17"/>
          <w:sz w:val="28"/>
        </w:rPr>
        <w:t>课程负责人</w:t>
      </w:r>
      <w:r>
        <w:rPr>
          <w:rFonts w:hint="eastAsia" w:ascii="黑体" w:hAnsi="黑体" w:eastAsia="黑体"/>
          <w:spacing w:val="17"/>
          <w:sz w:val="28"/>
          <w:lang w:val="en-US" w:eastAsia="zh-CN"/>
        </w:rPr>
        <w:t xml:space="preserve">          </w:t>
      </w:r>
    </w:p>
    <w:p w14:paraId="34431930">
      <w:pPr>
        <w:tabs>
          <w:tab w:val="left" w:pos="5685"/>
        </w:tabs>
        <w:spacing w:before="156" w:beforeLines="50" w:after="156" w:afterLines="50" w:line="480" w:lineRule="auto"/>
        <w:ind w:left="420" w:firstLine="420"/>
        <w:jc w:val="left"/>
        <w:rPr>
          <w:rFonts w:hint="default" w:ascii="黑体" w:hAnsi="黑体" w:eastAsia="黑体"/>
          <w:spacing w:val="17"/>
          <w:sz w:val="28"/>
          <w:lang w:val="en-US" w:eastAsia="zh-CN"/>
        </w:rPr>
      </w:pPr>
      <w:r>
        <w:rPr>
          <w:rFonts w:ascii="黑体" w:hAnsi="黑体" w:eastAsia="黑体"/>
          <w:sz w:val="28"/>
        </w:rPr>
        <mc:AlternateContent>
          <mc:Choice Requires="wps">
            <w:drawing>
              <wp:anchor distT="0" distB="0" distL="114300" distR="114300" simplePos="0" relativeHeight="251662336" behindDoc="0" locked="0" layoutInCell="1" allowOverlap="1">
                <wp:simplePos x="0" y="0"/>
                <wp:positionH relativeFrom="column">
                  <wp:posOffset>1540510</wp:posOffset>
                </wp:positionH>
                <wp:positionV relativeFrom="paragraph">
                  <wp:posOffset>289560</wp:posOffset>
                </wp:positionV>
                <wp:extent cx="3281045" cy="63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a:xfrm>
                          <a:off x="0" y="0"/>
                          <a:ext cx="3281045"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121.3pt;margin-top:22.8pt;height:0.05pt;width:258.35pt;z-index:251662336;mso-width-relative:page;mso-height-relative:page;" filled="f" stroked="t" coordsize="21600,21600" o:gfxdata="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uJ56XYAAAACQEAAA8AAAAAAAAA&#10;AQAgAAAAIgAAAGRycy9kb3ducmV2LnhtbFBLAQIUABQAAAAIAIdO4kDRQVgUEQIAAAYEAAAOAAAA&#10;AAAAAAEAIAAAACcBAABkcnMvZTJvRG9jLnhtbFBLBQYAAAAABgAGAFkBAACqBQAAAAA=&#10;">
                <v:fill on="f" focussize="0,0"/>
                <v:stroke weight="0.737007874015748pt" color="#000000" joinstyle="round"/>
                <v:imagedata o:title=""/>
                <o:lock v:ext="edit" aspectratio="f"/>
              </v:line>
            </w:pict>
          </mc:Fallback>
        </mc:AlternateContent>
      </w:r>
      <w:r>
        <w:rPr>
          <w:rFonts w:hint="eastAsia" w:ascii="黑体" w:hAnsi="黑体" w:eastAsia="黑体"/>
          <w:sz w:val="28"/>
        </w:rPr>
        <w:t>联 系 电 话</w:t>
      </w:r>
      <w:r>
        <w:rPr>
          <w:rFonts w:hint="eastAsia" w:ascii="黑体" w:hAnsi="黑体" w:eastAsia="黑体"/>
          <w:sz w:val="28"/>
          <w:lang w:val="en-US" w:eastAsia="zh-CN"/>
        </w:rPr>
        <w:t xml:space="preserve">            </w:t>
      </w:r>
    </w:p>
    <w:p w14:paraId="691BC139">
      <w:pPr>
        <w:tabs>
          <w:tab w:val="left" w:pos="5685"/>
        </w:tabs>
        <w:spacing w:before="156" w:beforeLines="50" w:after="156" w:afterLines="50" w:line="480" w:lineRule="auto"/>
        <w:ind w:left="420" w:firstLine="420"/>
        <w:jc w:val="left"/>
        <w:rPr>
          <w:rFonts w:hint="default" w:ascii="黑体" w:hAnsi="黑体" w:eastAsia="黑体"/>
          <w:sz w:val="28"/>
          <w:lang w:val="en-US" w:eastAsia="zh-CN"/>
        </w:rPr>
      </w:pPr>
      <w:r>
        <w:rPr>
          <w:rFonts w:hint="default" w:ascii="黑体" w:hAnsi="黑体" w:eastAsia="黑体" w:cs="Times New Roman"/>
          <w:sz w:val="28"/>
          <w:lang w:val="en-US"/>
        </w:rPr>
        <mc:AlternateContent>
          <mc:Choice Requires="wps">
            <w:drawing>
              <wp:anchor distT="0" distB="0" distL="114300" distR="114300" simplePos="0" relativeHeight="251661312" behindDoc="0" locked="0" layoutInCell="1" allowOverlap="1">
                <wp:simplePos x="0" y="0"/>
                <wp:positionH relativeFrom="column">
                  <wp:posOffset>1540510</wp:posOffset>
                </wp:positionH>
                <wp:positionV relativeFrom="paragraph">
                  <wp:posOffset>288925</wp:posOffset>
                </wp:positionV>
                <wp:extent cx="33147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a:xfrm>
                          <a:off x="0" y="0"/>
                          <a:ext cx="3314700" cy="0"/>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121.3pt;margin-top:22.75pt;height:0pt;width:261pt;z-index:251661312;mso-width-relative:page;mso-height-relative:page;" filled="f" stroked="t" coordsize="21600,21600" o:gfxdata="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Q67FdcAAAAJAQAADwAAAAAAAAABACAA&#10;AAAiAAAAZHJzL2Rvd25yZXYueG1sUEsBAhQAFAAAAAgAh07iQFdnRt8OAgAABAQAAA4AAAAAAAAA&#10;AQAgAAAAJgEAAGRycy9lMm9Eb2MueG1sUEsFBgAAAAAGAAYAWQEAAKYFAAAAAA==&#10;">
                <v:fill on="f" focussize="0,0"/>
                <v:stroke weight="0.737007874015748pt" color="#000000" joinstyle="round"/>
                <v:imagedata o:title=""/>
                <o:lock v:ext="edit" aspectratio="f"/>
              </v:line>
            </w:pict>
          </mc:Fallback>
        </mc:AlternateContent>
      </w:r>
      <w:r>
        <w:rPr>
          <w:rFonts w:hint="eastAsia" w:ascii="黑体" w:hAnsi="黑体" w:eastAsia="黑体" w:cs="Times New Roman"/>
          <w:sz w:val="28"/>
          <w:lang w:val="en-US" w:eastAsia="zh-CN"/>
        </w:rPr>
        <w:t>立 项</w:t>
      </w:r>
      <w:r>
        <w:rPr>
          <w:rFonts w:hint="eastAsia" w:ascii="黑体" w:hAnsi="黑体" w:eastAsia="黑体" w:cs="Times New Roman"/>
          <w:sz w:val="28"/>
        </w:rPr>
        <w:t xml:space="preserve"> 日 期</w:t>
      </w:r>
      <w:r>
        <w:rPr>
          <w:rFonts w:hint="eastAsia" w:ascii="黑体" w:hAnsi="黑体" w:eastAsia="黑体" w:cs="Times New Roman"/>
          <w:sz w:val="28"/>
          <w:lang w:val="en-US" w:eastAsia="zh-CN"/>
        </w:rPr>
        <w:t xml:space="preserve"> </w:t>
      </w:r>
      <w:r>
        <w:rPr>
          <w:rFonts w:hint="eastAsia" w:ascii="黑体" w:hAnsi="黑体" w:eastAsia="黑体"/>
          <w:sz w:val="28"/>
          <w:lang w:val="en-US" w:eastAsia="zh-CN"/>
        </w:rPr>
        <w:t xml:space="preserve">          2025年8月</w:t>
      </w:r>
    </w:p>
    <w:p w14:paraId="4212A373">
      <w:pPr>
        <w:spacing w:line="480" w:lineRule="auto"/>
        <w:ind w:firstLine="539"/>
        <w:rPr>
          <w:rFonts w:ascii="黑体" w:hAnsi="黑体" w:eastAsia="黑体"/>
          <w:sz w:val="28"/>
        </w:rPr>
      </w:pPr>
    </w:p>
    <w:p w14:paraId="26C951EA">
      <w:pPr>
        <w:spacing w:line="480" w:lineRule="auto"/>
        <w:ind w:firstLine="539"/>
        <w:rPr>
          <w:rFonts w:ascii="黑体" w:hAnsi="黑体" w:eastAsia="黑体"/>
          <w:sz w:val="28"/>
        </w:rPr>
      </w:pPr>
    </w:p>
    <w:p w14:paraId="770D213C">
      <w:pPr>
        <w:spacing w:line="480" w:lineRule="auto"/>
        <w:ind w:firstLine="539"/>
        <w:rPr>
          <w:rFonts w:ascii="黑体" w:hAnsi="黑体" w:eastAsia="黑体"/>
          <w:sz w:val="28"/>
        </w:rPr>
      </w:pPr>
    </w:p>
    <w:p w14:paraId="2C7FDC69"/>
    <w:p w14:paraId="76B32E8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14:paraId="63CB2BCB">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center"/>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目  录</w:t>
      </w:r>
    </w:p>
    <w:p w14:paraId="6CA2B63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outlineLvl w:val="1"/>
        <w:rPr>
          <w:rFonts w:hint="eastAsia" w:ascii="黑体" w:hAnsi="黑体" w:eastAsia="黑体" w:cs="黑体"/>
          <w:sz w:val="32"/>
          <w:lang w:val="en-US" w:eastAsia="zh-CN"/>
        </w:rPr>
      </w:pPr>
    </w:p>
    <w:p w14:paraId="294D3041">
      <w:pPr>
        <w:pStyle w:val="7"/>
        <w:tabs>
          <w:tab w:val="right" w:leader="dot" w:pos="8306"/>
        </w:tabs>
        <w:rPr>
          <w:sz w:val="28"/>
          <w:szCs w:val="36"/>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"1-3" \h \u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_Toc21950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一、基本情况</w:t>
      </w:r>
      <w:r>
        <w:rPr>
          <w:sz w:val="28"/>
          <w:szCs w:val="36"/>
        </w:rPr>
        <w:tab/>
      </w:r>
      <w:r>
        <w:rPr>
          <w:sz w:val="28"/>
          <w:szCs w:val="36"/>
        </w:rPr>
        <w:fldChar w:fldCharType="begin"/>
      </w:r>
      <w:r>
        <w:rPr>
          <w:sz w:val="28"/>
          <w:szCs w:val="36"/>
        </w:rPr>
        <w:instrText xml:space="preserve"> PAGEREF _Toc21950 \h </w:instrText>
      </w:r>
      <w:r>
        <w:rPr>
          <w:sz w:val="28"/>
          <w:szCs w:val="36"/>
        </w:rPr>
        <w:fldChar w:fldCharType="separate"/>
      </w:r>
      <w:r>
        <w:rPr>
          <w:sz w:val="28"/>
          <w:szCs w:val="36"/>
        </w:rPr>
        <w:t>3</w:t>
      </w:r>
      <w:r>
        <w:rPr>
          <w:sz w:val="28"/>
          <w:szCs w:val="36"/>
        </w:rPr>
        <w:fldChar w:fldCharType="end"/>
      </w:r>
      <w:r>
        <w:rPr>
          <w:rFonts w:hint="eastAsia" w:ascii="宋体" w:hAnsi="宋体" w:eastAsia="宋体" w:cs="宋体"/>
          <w:sz w:val="28"/>
          <w:szCs w:val="40"/>
          <w:lang w:val="en-US" w:eastAsia="zh-CN"/>
        </w:rPr>
        <w:fldChar w:fldCharType="end"/>
      </w:r>
    </w:p>
    <w:p w14:paraId="35C1FDFC">
      <w:pPr>
        <w:pStyle w:val="7"/>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_Toc30057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二、建设基础</w:t>
      </w:r>
      <w:r>
        <w:rPr>
          <w:sz w:val="28"/>
          <w:szCs w:val="36"/>
        </w:rPr>
        <w:tab/>
      </w:r>
      <w:r>
        <w:rPr>
          <w:sz w:val="28"/>
          <w:szCs w:val="36"/>
        </w:rPr>
        <w:fldChar w:fldCharType="begin"/>
      </w:r>
      <w:r>
        <w:rPr>
          <w:sz w:val="28"/>
          <w:szCs w:val="36"/>
        </w:rPr>
        <w:instrText xml:space="preserve"> PAGEREF _Toc30057 \h </w:instrText>
      </w:r>
      <w:r>
        <w:rPr>
          <w:sz w:val="28"/>
          <w:szCs w:val="36"/>
        </w:rPr>
        <w:fldChar w:fldCharType="separate"/>
      </w:r>
      <w:r>
        <w:rPr>
          <w:sz w:val="28"/>
          <w:szCs w:val="36"/>
        </w:rPr>
        <w:t>3</w:t>
      </w:r>
      <w:r>
        <w:rPr>
          <w:sz w:val="28"/>
          <w:szCs w:val="36"/>
        </w:rPr>
        <w:fldChar w:fldCharType="end"/>
      </w:r>
      <w:r>
        <w:rPr>
          <w:rFonts w:hint="eastAsia" w:ascii="宋体" w:hAnsi="宋体" w:eastAsia="宋体" w:cs="宋体"/>
          <w:sz w:val="28"/>
          <w:szCs w:val="40"/>
          <w:lang w:val="en-US" w:eastAsia="zh-CN"/>
        </w:rPr>
        <w:fldChar w:fldCharType="end"/>
      </w:r>
    </w:p>
    <w:p w14:paraId="46E0EDC5">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_Toc15888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（一）资源建设基础</w:t>
      </w:r>
      <w:r>
        <w:rPr>
          <w:sz w:val="28"/>
          <w:szCs w:val="36"/>
        </w:rPr>
        <w:tab/>
      </w:r>
      <w:r>
        <w:rPr>
          <w:sz w:val="28"/>
          <w:szCs w:val="36"/>
        </w:rPr>
        <w:fldChar w:fldCharType="begin"/>
      </w:r>
      <w:r>
        <w:rPr>
          <w:sz w:val="28"/>
          <w:szCs w:val="36"/>
        </w:rPr>
        <w:instrText xml:space="preserve"> PAGEREF _Toc15888 \h </w:instrText>
      </w:r>
      <w:r>
        <w:rPr>
          <w:sz w:val="28"/>
          <w:szCs w:val="36"/>
        </w:rPr>
        <w:fldChar w:fldCharType="separate"/>
      </w:r>
      <w:r>
        <w:rPr>
          <w:sz w:val="28"/>
          <w:szCs w:val="36"/>
        </w:rPr>
        <w:t>3</w:t>
      </w:r>
      <w:r>
        <w:rPr>
          <w:sz w:val="28"/>
          <w:szCs w:val="36"/>
        </w:rPr>
        <w:fldChar w:fldCharType="end"/>
      </w:r>
      <w:r>
        <w:rPr>
          <w:rFonts w:hint="eastAsia" w:ascii="宋体" w:hAnsi="宋体" w:eastAsia="宋体" w:cs="宋体"/>
          <w:sz w:val="28"/>
          <w:szCs w:val="40"/>
          <w:lang w:val="en-US" w:eastAsia="zh-CN"/>
        </w:rPr>
        <w:fldChar w:fldCharType="end"/>
      </w:r>
    </w:p>
    <w:p w14:paraId="0DB12D13">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_Toc2706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（二）项目团队条件</w:t>
      </w:r>
      <w:r>
        <w:rPr>
          <w:sz w:val="28"/>
          <w:szCs w:val="36"/>
        </w:rPr>
        <w:tab/>
      </w:r>
      <w:r>
        <w:rPr>
          <w:sz w:val="28"/>
          <w:szCs w:val="36"/>
        </w:rPr>
        <w:fldChar w:fldCharType="begin"/>
      </w:r>
      <w:r>
        <w:rPr>
          <w:sz w:val="28"/>
          <w:szCs w:val="36"/>
        </w:rPr>
        <w:instrText xml:space="preserve"> PAGEREF _Toc2706 \h </w:instrText>
      </w:r>
      <w:r>
        <w:rPr>
          <w:sz w:val="28"/>
          <w:szCs w:val="36"/>
        </w:rPr>
        <w:fldChar w:fldCharType="separate"/>
      </w:r>
      <w:r>
        <w:rPr>
          <w:sz w:val="28"/>
          <w:szCs w:val="36"/>
        </w:rPr>
        <w:t>3</w:t>
      </w:r>
      <w:r>
        <w:rPr>
          <w:sz w:val="28"/>
          <w:szCs w:val="36"/>
        </w:rPr>
        <w:fldChar w:fldCharType="end"/>
      </w:r>
      <w:r>
        <w:rPr>
          <w:rFonts w:hint="eastAsia" w:ascii="宋体" w:hAnsi="宋体" w:eastAsia="宋体" w:cs="宋体"/>
          <w:sz w:val="28"/>
          <w:szCs w:val="40"/>
          <w:lang w:val="en-US" w:eastAsia="zh-CN"/>
        </w:rPr>
        <w:fldChar w:fldCharType="end"/>
      </w:r>
    </w:p>
    <w:p w14:paraId="5D3A25BC">
      <w:pPr>
        <w:pStyle w:val="5"/>
        <w:tabs>
          <w:tab w:val="right" w:leader="dot" w:pos="8306"/>
        </w:tabs>
        <w:ind w:left="0" w:leftChars="0" w:firstLine="0" w:firstLineChars="0"/>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_Toc6491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三、建设目标</w:t>
      </w:r>
      <w:r>
        <w:rPr>
          <w:sz w:val="28"/>
          <w:szCs w:val="36"/>
        </w:rPr>
        <w:tab/>
      </w:r>
      <w:r>
        <w:rPr>
          <w:sz w:val="28"/>
          <w:szCs w:val="36"/>
        </w:rPr>
        <w:fldChar w:fldCharType="begin"/>
      </w:r>
      <w:r>
        <w:rPr>
          <w:sz w:val="28"/>
          <w:szCs w:val="36"/>
        </w:rPr>
        <w:instrText xml:space="preserve"> PAGEREF _Toc6491 \h </w:instrText>
      </w:r>
      <w:r>
        <w:rPr>
          <w:sz w:val="28"/>
          <w:szCs w:val="36"/>
        </w:rPr>
        <w:fldChar w:fldCharType="separate"/>
      </w:r>
      <w:r>
        <w:rPr>
          <w:sz w:val="28"/>
          <w:szCs w:val="36"/>
        </w:rPr>
        <w:t>4</w:t>
      </w:r>
      <w:r>
        <w:rPr>
          <w:sz w:val="28"/>
          <w:szCs w:val="36"/>
        </w:rPr>
        <w:fldChar w:fldCharType="end"/>
      </w:r>
      <w:r>
        <w:rPr>
          <w:rFonts w:hint="eastAsia" w:ascii="宋体" w:hAnsi="宋体" w:eastAsia="宋体" w:cs="宋体"/>
          <w:sz w:val="28"/>
          <w:szCs w:val="40"/>
          <w:lang w:val="en-US" w:eastAsia="zh-CN"/>
        </w:rPr>
        <w:fldChar w:fldCharType="end"/>
      </w:r>
    </w:p>
    <w:p w14:paraId="45CAEE2D">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_Toc6406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（一）以知识图谱“小切口”推动智慧课程升级</w:t>
      </w:r>
      <w:r>
        <w:rPr>
          <w:sz w:val="28"/>
          <w:szCs w:val="36"/>
        </w:rPr>
        <w:tab/>
      </w:r>
      <w:r>
        <w:rPr>
          <w:sz w:val="28"/>
          <w:szCs w:val="36"/>
        </w:rPr>
        <w:fldChar w:fldCharType="begin"/>
      </w:r>
      <w:r>
        <w:rPr>
          <w:sz w:val="28"/>
          <w:szCs w:val="36"/>
        </w:rPr>
        <w:instrText xml:space="preserve"> PAGEREF _Toc6406 \h </w:instrText>
      </w:r>
      <w:r>
        <w:rPr>
          <w:sz w:val="28"/>
          <w:szCs w:val="36"/>
        </w:rPr>
        <w:fldChar w:fldCharType="separate"/>
      </w:r>
      <w:r>
        <w:rPr>
          <w:sz w:val="28"/>
          <w:szCs w:val="36"/>
        </w:rPr>
        <w:t>4</w:t>
      </w:r>
      <w:r>
        <w:rPr>
          <w:sz w:val="28"/>
          <w:szCs w:val="36"/>
        </w:rPr>
        <w:fldChar w:fldCharType="end"/>
      </w:r>
      <w:r>
        <w:rPr>
          <w:rFonts w:hint="eastAsia" w:ascii="宋体" w:hAnsi="宋体" w:eastAsia="宋体" w:cs="宋体"/>
          <w:sz w:val="28"/>
          <w:szCs w:val="40"/>
          <w:lang w:val="en-US" w:eastAsia="zh-CN"/>
        </w:rPr>
        <w:fldChar w:fldCharType="end"/>
      </w:r>
    </w:p>
    <w:p w14:paraId="7FFCF396">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_Toc15134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（二）AI助教赋能师生智慧化教学</w:t>
      </w:r>
      <w:r>
        <w:rPr>
          <w:sz w:val="28"/>
          <w:szCs w:val="36"/>
        </w:rPr>
        <w:tab/>
      </w:r>
      <w:r>
        <w:rPr>
          <w:sz w:val="28"/>
          <w:szCs w:val="36"/>
        </w:rPr>
        <w:fldChar w:fldCharType="begin"/>
      </w:r>
      <w:r>
        <w:rPr>
          <w:sz w:val="28"/>
          <w:szCs w:val="36"/>
        </w:rPr>
        <w:instrText xml:space="preserve"> PAGEREF _Toc15134 \h </w:instrText>
      </w:r>
      <w:r>
        <w:rPr>
          <w:sz w:val="28"/>
          <w:szCs w:val="36"/>
        </w:rPr>
        <w:fldChar w:fldCharType="separate"/>
      </w:r>
      <w:r>
        <w:rPr>
          <w:sz w:val="28"/>
          <w:szCs w:val="36"/>
        </w:rPr>
        <w:t>4</w:t>
      </w:r>
      <w:r>
        <w:rPr>
          <w:sz w:val="28"/>
          <w:szCs w:val="36"/>
        </w:rPr>
        <w:fldChar w:fldCharType="end"/>
      </w:r>
      <w:r>
        <w:rPr>
          <w:rFonts w:hint="eastAsia" w:ascii="宋体" w:hAnsi="宋体" w:eastAsia="宋体" w:cs="宋体"/>
          <w:sz w:val="28"/>
          <w:szCs w:val="40"/>
          <w:lang w:val="en-US" w:eastAsia="zh-CN"/>
        </w:rPr>
        <w:fldChar w:fldCharType="end"/>
      </w:r>
    </w:p>
    <w:p w14:paraId="1DF6B00A">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_Toc16892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（三）以智慧教学新范式促进教学模式深度改革</w:t>
      </w:r>
      <w:r>
        <w:rPr>
          <w:sz w:val="28"/>
          <w:szCs w:val="36"/>
        </w:rPr>
        <w:tab/>
      </w:r>
      <w:r>
        <w:rPr>
          <w:sz w:val="28"/>
          <w:szCs w:val="36"/>
        </w:rPr>
        <w:fldChar w:fldCharType="begin"/>
      </w:r>
      <w:r>
        <w:rPr>
          <w:sz w:val="28"/>
          <w:szCs w:val="36"/>
        </w:rPr>
        <w:instrText xml:space="preserve"> PAGEREF _Toc16892 \h </w:instrText>
      </w:r>
      <w:r>
        <w:rPr>
          <w:sz w:val="28"/>
          <w:szCs w:val="36"/>
        </w:rPr>
        <w:fldChar w:fldCharType="separate"/>
      </w:r>
      <w:r>
        <w:rPr>
          <w:sz w:val="28"/>
          <w:szCs w:val="36"/>
        </w:rPr>
        <w:t>4</w:t>
      </w:r>
      <w:r>
        <w:rPr>
          <w:sz w:val="28"/>
          <w:szCs w:val="36"/>
        </w:rPr>
        <w:fldChar w:fldCharType="end"/>
      </w:r>
      <w:r>
        <w:rPr>
          <w:rFonts w:hint="eastAsia" w:ascii="宋体" w:hAnsi="宋体" w:eastAsia="宋体" w:cs="宋体"/>
          <w:sz w:val="28"/>
          <w:szCs w:val="40"/>
          <w:lang w:val="en-US" w:eastAsia="zh-CN"/>
        </w:rPr>
        <w:fldChar w:fldCharType="end"/>
      </w:r>
    </w:p>
    <w:p w14:paraId="39872F26">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_Toc13478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（四）添加“虚拟仿真”实训内容，克服专业难题</w:t>
      </w:r>
      <w:r>
        <w:rPr>
          <w:sz w:val="28"/>
          <w:szCs w:val="36"/>
        </w:rPr>
        <w:tab/>
      </w:r>
      <w:r>
        <w:rPr>
          <w:sz w:val="28"/>
          <w:szCs w:val="36"/>
        </w:rPr>
        <w:fldChar w:fldCharType="begin"/>
      </w:r>
      <w:r>
        <w:rPr>
          <w:sz w:val="28"/>
          <w:szCs w:val="36"/>
        </w:rPr>
        <w:instrText xml:space="preserve"> PAGEREF _Toc13478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sz w:val="28"/>
          <w:szCs w:val="40"/>
          <w:lang w:val="en-US" w:eastAsia="zh-CN"/>
        </w:rPr>
        <w:fldChar w:fldCharType="end"/>
      </w:r>
    </w:p>
    <w:p w14:paraId="0D71EB35">
      <w:pPr>
        <w:pStyle w:val="7"/>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_Toc6860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四、建设内容</w:t>
      </w:r>
      <w:r>
        <w:rPr>
          <w:sz w:val="28"/>
          <w:szCs w:val="36"/>
        </w:rPr>
        <w:tab/>
      </w:r>
      <w:r>
        <w:rPr>
          <w:sz w:val="28"/>
          <w:szCs w:val="36"/>
        </w:rPr>
        <w:fldChar w:fldCharType="begin"/>
      </w:r>
      <w:r>
        <w:rPr>
          <w:sz w:val="28"/>
          <w:szCs w:val="36"/>
        </w:rPr>
        <w:instrText xml:space="preserve"> PAGEREF _Toc6860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sz w:val="28"/>
          <w:szCs w:val="40"/>
          <w:lang w:val="en-US" w:eastAsia="zh-CN"/>
        </w:rPr>
        <w:fldChar w:fldCharType="end"/>
      </w:r>
    </w:p>
    <w:p w14:paraId="404E6F0A">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_Toc29215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（一）课程体系重构</w:t>
      </w:r>
      <w:r>
        <w:rPr>
          <w:sz w:val="28"/>
          <w:szCs w:val="36"/>
        </w:rPr>
        <w:tab/>
      </w:r>
      <w:r>
        <w:rPr>
          <w:sz w:val="28"/>
          <w:szCs w:val="36"/>
        </w:rPr>
        <w:fldChar w:fldCharType="begin"/>
      </w:r>
      <w:r>
        <w:rPr>
          <w:sz w:val="28"/>
          <w:szCs w:val="36"/>
        </w:rPr>
        <w:instrText xml:space="preserve"> PAGEREF _Toc29215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sz w:val="28"/>
          <w:szCs w:val="40"/>
          <w:lang w:val="en-US" w:eastAsia="zh-CN"/>
        </w:rPr>
        <w:fldChar w:fldCharType="end"/>
      </w:r>
    </w:p>
    <w:p w14:paraId="5AF04385">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_Toc16962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（二）线上教学资源建设</w:t>
      </w:r>
      <w:r>
        <w:rPr>
          <w:sz w:val="28"/>
          <w:szCs w:val="36"/>
        </w:rPr>
        <w:tab/>
      </w:r>
      <w:r>
        <w:rPr>
          <w:sz w:val="28"/>
          <w:szCs w:val="36"/>
        </w:rPr>
        <w:fldChar w:fldCharType="begin"/>
      </w:r>
      <w:r>
        <w:rPr>
          <w:sz w:val="28"/>
          <w:szCs w:val="36"/>
        </w:rPr>
        <w:instrText xml:space="preserve"> PAGEREF _Toc16962 \h </w:instrText>
      </w:r>
      <w:r>
        <w:rPr>
          <w:sz w:val="28"/>
          <w:szCs w:val="36"/>
        </w:rPr>
        <w:fldChar w:fldCharType="separate"/>
      </w:r>
      <w:r>
        <w:rPr>
          <w:sz w:val="28"/>
          <w:szCs w:val="36"/>
        </w:rPr>
        <w:t>6</w:t>
      </w:r>
      <w:r>
        <w:rPr>
          <w:sz w:val="28"/>
          <w:szCs w:val="36"/>
        </w:rPr>
        <w:fldChar w:fldCharType="end"/>
      </w:r>
      <w:r>
        <w:rPr>
          <w:rFonts w:hint="eastAsia" w:ascii="宋体" w:hAnsi="宋体" w:eastAsia="宋体" w:cs="宋体"/>
          <w:sz w:val="28"/>
          <w:szCs w:val="40"/>
          <w:lang w:val="en-US" w:eastAsia="zh-CN"/>
        </w:rPr>
        <w:fldChar w:fldCharType="end"/>
      </w:r>
    </w:p>
    <w:p w14:paraId="48BFA6C4">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_Toc358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（三）数字化资源建设与应用</w:t>
      </w:r>
      <w:r>
        <w:rPr>
          <w:sz w:val="28"/>
          <w:szCs w:val="36"/>
        </w:rPr>
        <w:tab/>
      </w:r>
      <w:r>
        <w:rPr>
          <w:sz w:val="28"/>
          <w:szCs w:val="36"/>
        </w:rPr>
        <w:fldChar w:fldCharType="begin"/>
      </w:r>
      <w:r>
        <w:rPr>
          <w:sz w:val="28"/>
          <w:szCs w:val="36"/>
        </w:rPr>
        <w:instrText xml:space="preserve"> PAGEREF _Toc358 \h </w:instrText>
      </w:r>
      <w:r>
        <w:rPr>
          <w:sz w:val="28"/>
          <w:szCs w:val="36"/>
        </w:rPr>
        <w:fldChar w:fldCharType="separate"/>
      </w:r>
      <w:r>
        <w:rPr>
          <w:sz w:val="28"/>
          <w:szCs w:val="36"/>
        </w:rPr>
        <w:t>6</w:t>
      </w:r>
      <w:r>
        <w:rPr>
          <w:sz w:val="28"/>
          <w:szCs w:val="36"/>
        </w:rPr>
        <w:fldChar w:fldCharType="end"/>
      </w:r>
      <w:r>
        <w:rPr>
          <w:rFonts w:hint="eastAsia" w:ascii="宋体" w:hAnsi="宋体" w:eastAsia="宋体" w:cs="宋体"/>
          <w:sz w:val="28"/>
          <w:szCs w:val="40"/>
          <w:lang w:val="en-US" w:eastAsia="zh-CN"/>
        </w:rPr>
        <w:fldChar w:fldCharType="end"/>
      </w:r>
    </w:p>
    <w:p w14:paraId="1F850639">
      <w:pPr>
        <w:pStyle w:val="7"/>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_Toc17161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五、预期效果</w:t>
      </w:r>
      <w:r>
        <w:rPr>
          <w:sz w:val="28"/>
          <w:szCs w:val="36"/>
        </w:rPr>
        <w:tab/>
      </w:r>
      <w:r>
        <w:rPr>
          <w:sz w:val="28"/>
          <w:szCs w:val="36"/>
        </w:rPr>
        <w:fldChar w:fldCharType="begin"/>
      </w:r>
      <w:r>
        <w:rPr>
          <w:sz w:val="28"/>
          <w:szCs w:val="36"/>
        </w:rPr>
        <w:instrText xml:space="preserve"> PAGEREF _Toc17161 \h </w:instrText>
      </w:r>
      <w:r>
        <w:rPr>
          <w:sz w:val="28"/>
          <w:szCs w:val="36"/>
        </w:rPr>
        <w:fldChar w:fldCharType="separate"/>
      </w:r>
      <w:r>
        <w:rPr>
          <w:sz w:val="28"/>
          <w:szCs w:val="36"/>
        </w:rPr>
        <w:t>8</w:t>
      </w:r>
      <w:r>
        <w:rPr>
          <w:sz w:val="28"/>
          <w:szCs w:val="36"/>
        </w:rPr>
        <w:fldChar w:fldCharType="end"/>
      </w:r>
      <w:r>
        <w:rPr>
          <w:rFonts w:hint="eastAsia" w:ascii="宋体" w:hAnsi="宋体" w:eastAsia="宋体" w:cs="宋体"/>
          <w:sz w:val="28"/>
          <w:szCs w:val="40"/>
          <w:lang w:val="en-US" w:eastAsia="zh-CN"/>
        </w:rPr>
        <w:fldChar w:fldCharType="end"/>
      </w:r>
    </w:p>
    <w:p w14:paraId="170701F2">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_Toc23697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（一）《煤矿安全技术》省级一流核心课程赋能创新教学</w:t>
      </w:r>
      <w:r>
        <w:rPr>
          <w:sz w:val="28"/>
          <w:szCs w:val="36"/>
        </w:rPr>
        <w:tab/>
      </w:r>
      <w:r>
        <w:rPr>
          <w:sz w:val="28"/>
          <w:szCs w:val="36"/>
        </w:rPr>
        <w:fldChar w:fldCharType="begin"/>
      </w:r>
      <w:r>
        <w:rPr>
          <w:sz w:val="28"/>
          <w:szCs w:val="36"/>
        </w:rPr>
        <w:instrText xml:space="preserve"> PAGEREF _Toc23697 \h </w:instrText>
      </w:r>
      <w:r>
        <w:rPr>
          <w:sz w:val="28"/>
          <w:szCs w:val="36"/>
        </w:rPr>
        <w:fldChar w:fldCharType="separate"/>
      </w:r>
      <w:r>
        <w:rPr>
          <w:sz w:val="28"/>
          <w:szCs w:val="36"/>
        </w:rPr>
        <w:t>8</w:t>
      </w:r>
      <w:r>
        <w:rPr>
          <w:sz w:val="28"/>
          <w:szCs w:val="36"/>
        </w:rPr>
        <w:fldChar w:fldCharType="end"/>
      </w:r>
      <w:r>
        <w:rPr>
          <w:rFonts w:hint="eastAsia" w:ascii="宋体" w:hAnsi="宋体" w:eastAsia="宋体" w:cs="宋体"/>
          <w:sz w:val="28"/>
          <w:szCs w:val="40"/>
          <w:lang w:val="en-US" w:eastAsia="zh-CN"/>
        </w:rPr>
        <w:fldChar w:fldCharType="end"/>
      </w:r>
    </w:p>
    <w:p w14:paraId="15596711">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_Toc27119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（二）《煤矿安全技术》省级一流核心课程助力我校优质专业建设</w:t>
      </w:r>
      <w:r>
        <w:rPr>
          <w:sz w:val="28"/>
          <w:szCs w:val="36"/>
        </w:rPr>
        <w:tab/>
      </w:r>
      <w:r>
        <w:rPr>
          <w:sz w:val="28"/>
          <w:szCs w:val="36"/>
        </w:rPr>
        <w:fldChar w:fldCharType="begin"/>
      </w:r>
      <w:r>
        <w:rPr>
          <w:sz w:val="28"/>
          <w:szCs w:val="36"/>
        </w:rPr>
        <w:instrText xml:space="preserve"> PAGEREF _Toc27119 \h </w:instrText>
      </w:r>
      <w:r>
        <w:rPr>
          <w:sz w:val="28"/>
          <w:szCs w:val="36"/>
        </w:rPr>
        <w:fldChar w:fldCharType="separate"/>
      </w:r>
      <w:r>
        <w:rPr>
          <w:sz w:val="28"/>
          <w:szCs w:val="36"/>
        </w:rPr>
        <w:t>8</w:t>
      </w:r>
      <w:r>
        <w:rPr>
          <w:sz w:val="28"/>
          <w:szCs w:val="36"/>
        </w:rPr>
        <w:fldChar w:fldCharType="end"/>
      </w:r>
      <w:r>
        <w:rPr>
          <w:rFonts w:hint="eastAsia" w:ascii="宋体" w:hAnsi="宋体" w:eastAsia="宋体" w:cs="宋体"/>
          <w:sz w:val="28"/>
          <w:szCs w:val="40"/>
          <w:lang w:val="en-US" w:eastAsia="zh-CN"/>
        </w:rPr>
        <w:fldChar w:fldCharType="end"/>
      </w:r>
    </w:p>
    <w:p w14:paraId="26E1C383">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_Toc22438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（三）支持数字教材出版</w:t>
      </w:r>
      <w:r>
        <w:rPr>
          <w:sz w:val="28"/>
          <w:szCs w:val="36"/>
        </w:rPr>
        <w:tab/>
      </w:r>
      <w:r>
        <w:rPr>
          <w:sz w:val="28"/>
          <w:szCs w:val="36"/>
        </w:rPr>
        <w:fldChar w:fldCharType="begin"/>
      </w:r>
      <w:r>
        <w:rPr>
          <w:sz w:val="28"/>
          <w:szCs w:val="36"/>
        </w:rPr>
        <w:instrText xml:space="preserve"> PAGEREF _Toc22438 \h </w:instrText>
      </w:r>
      <w:r>
        <w:rPr>
          <w:sz w:val="28"/>
          <w:szCs w:val="36"/>
        </w:rPr>
        <w:fldChar w:fldCharType="separate"/>
      </w:r>
      <w:r>
        <w:rPr>
          <w:sz w:val="28"/>
          <w:szCs w:val="36"/>
        </w:rPr>
        <w:t>8</w:t>
      </w:r>
      <w:r>
        <w:rPr>
          <w:sz w:val="28"/>
          <w:szCs w:val="36"/>
        </w:rPr>
        <w:fldChar w:fldCharType="end"/>
      </w:r>
      <w:r>
        <w:rPr>
          <w:rFonts w:hint="eastAsia" w:ascii="宋体" w:hAnsi="宋体" w:eastAsia="宋体" w:cs="宋体"/>
          <w:sz w:val="28"/>
          <w:szCs w:val="40"/>
          <w:lang w:val="en-US" w:eastAsia="zh-CN"/>
        </w:rPr>
        <w:fldChar w:fldCharType="end"/>
      </w:r>
    </w:p>
    <w:p w14:paraId="25C478F8">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_Toc8704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（四）穿点成线：拓展构建人工智能+课程群、专业图谱</w:t>
      </w:r>
      <w:r>
        <w:rPr>
          <w:sz w:val="28"/>
          <w:szCs w:val="36"/>
        </w:rPr>
        <w:tab/>
      </w:r>
      <w:r>
        <w:rPr>
          <w:sz w:val="28"/>
          <w:szCs w:val="36"/>
        </w:rPr>
        <w:fldChar w:fldCharType="begin"/>
      </w:r>
      <w:r>
        <w:rPr>
          <w:sz w:val="28"/>
          <w:szCs w:val="36"/>
        </w:rPr>
        <w:instrText xml:space="preserve"> PAGEREF _Toc8704 \h </w:instrText>
      </w:r>
      <w:r>
        <w:rPr>
          <w:sz w:val="28"/>
          <w:szCs w:val="36"/>
        </w:rPr>
        <w:fldChar w:fldCharType="separate"/>
      </w:r>
      <w:r>
        <w:rPr>
          <w:sz w:val="28"/>
          <w:szCs w:val="36"/>
        </w:rPr>
        <w:t>9</w:t>
      </w:r>
      <w:r>
        <w:rPr>
          <w:sz w:val="28"/>
          <w:szCs w:val="36"/>
        </w:rPr>
        <w:fldChar w:fldCharType="end"/>
      </w:r>
      <w:r>
        <w:rPr>
          <w:rFonts w:hint="eastAsia" w:ascii="宋体" w:hAnsi="宋体" w:eastAsia="宋体" w:cs="宋体"/>
          <w:sz w:val="28"/>
          <w:szCs w:val="40"/>
          <w:lang w:val="en-US" w:eastAsia="zh-CN"/>
        </w:rPr>
        <w:fldChar w:fldCharType="end"/>
      </w:r>
    </w:p>
    <w:p w14:paraId="0F46C3BC">
      <w:pPr>
        <w:pStyle w:val="7"/>
        <w:tabs>
          <w:tab w:val="right" w:leader="dot" w:pos="8306"/>
        </w:tabs>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_Toc18854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六、项目预算</w:t>
      </w:r>
      <w:r>
        <w:rPr>
          <w:sz w:val="28"/>
          <w:szCs w:val="36"/>
        </w:rPr>
        <w:tab/>
      </w:r>
      <w:r>
        <w:rPr>
          <w:sz w:val="28"/>
          <w:szCs w:val="36"/>
        </w:rPr>
        <w:fldChar w:fldCharType="begin"/>
      </w:r>
      <w:r>
        <w:rPr>
          <w:sz w:val="28"/>
          <w:szCs w:val="36"/>
        </w:rPr>
        <w:instrText xml:space="preserve"> PAGEREF _Toc18854 \h </w:instrText>
      </w:r>
      <w:r>
        <w:rPr>
          <w:sz w:val="28"/>
          <w:szCs w:val="36"/>
        </w:rPr>
        <w:fldChar w:fldCharType="separate"/>
      </w:r>
      <w:r>
        <w:rPr>
          <w:sz w:val="28"/>
          <w:szCs w:val="36"/>
        </w:rPr>
        <w:t>9</w:t>
      </w:r>
      <w:r>
        <w:rPr>
          <w:sz w:val="28"/>
          <w:szCs w:val="36"/>
        </w:rPr>
        <w:fldChar w:fldCharType="end"/>
      </w:r>
      <w:r>
        <w:rPr>
          <w:rFonts w:hint="eastAsia" w:ascii="宋体" w:hAnsi="宋体" w:eastAsia="宋体" w:cs="宋体"/>
          <w:sz w:val="28"/>
          <w:szCs w:val="40"/>
          <w:lang w:val="en-US" w:eastAsia="zh-CN"/>
        </w:rPr>
        <w:fldChar w:fldCharType="end"/>
      </w:r>
    </w:p>
    <w:p w14:paraId="247A9F0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Cs w:val="28"/>
          <w:lang w:val="en-US" w:eastAsia="zh-CN"/>
        </w:rPr>
        <w:fldChar w:fldCharType="end"/>
      </w:r>
    </w:p>
    <w:p w14:paraId="60E934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方正小标宋简体" w:hAnsi="方正小标宋简体" w:eastAsia="方正小标宋简体" w:cs="方正小标宋简体"/>
          <w:sz w:val="32"/>
          <w:szCs w:val="32"/>
          <w:lang w:val="en-US" w:eastAsia="zh-CN"/>
        </w:rPr>
      </w:pPr>
      <w:bookmarkStart w:id="2" w:name="_Toc3441"/>
      <w:bookmarkStart w:id="3" w:name="_Toc21950"/>
      <w:r>
        <w:rPr>
          <w:rFonts w:hint="eastAsia" w:ascii="方正小标宋简体" w:hAnsi="方正小标宋简体" w:eastAsia="方正小标宋简体" w:cs="方正小标宋简体"/>
          <w:sz w:val="32"/>
          <w:szCs w:val="32"/>
          <w:lang w:val="en-US" w:eastAsia="zh-CN"/>
        </w:rPr>
        <w:t>一、</w:t>
      </w:r>
      <w:bookmarkEnd w:id="2"/>
      <w:r>
        <w:rPr>
          <w:rFonts w:hint="eastAsia" w:ascii="方正小标宋简体" w:hAnsi="方正小标宋简体" w:eastAsia="方正小标宋简体" w:cs="方正小标宋简体"/>
          <w:sz w:val="32"/>
          <w:szCs w:val="32"/>
          <w:lang w:val="en-US" w:eastAsia="zh-CN"/>
        </w:rPr>
        <w:t>基本情况</w:t>
      </w:r>
      <w:bookmarkEnd w:id="3"/>
    </w:p>
    <w:p w14:paraId="29CC1DB6">
      <w:pPr>
        <w:pageBreakBefore w:val="0"/>
        <w:kinsoku/>
        <w:wordWrap/>
        <w:overflowPunct/>
        <w:topLinePunct w:val="0"/>
        <w:bidi w:val="0"/>
        <w:adjustRightInd w:val="0"/>
        <w:snapToGrid w:val="0"/>
        <w:spacing w:beforeAutospacing="0" w:afterAutospacing="0" w:line="560" w:lineRule="exact"/>
        <w:ind w:firstLine="640"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土木工程系积极申报《煤矿安全技术》省级一流核心课程，并于2025年下半年经贵州省教育厅评审立项为省级一流核心课程建设项目，项目建设周期为一年，预计验收时间为2026年9月份。</w:t>
      </w:r>
    </w:p>
    <w:p w14:paraId="5668B204">
      <w:pPr>
        <w:pageBreakBefore w:val="0"/>
        <w:kinsoku/>
        <w:wordWrap/>
        <w:overflowPunct/>
        <w:topLinePunct w:val="0"/>
        <w:bidi w:val="0"/>
        <w:adjustRightInd w:val="0"/>
        <w:snapToGrid w:val="0"/>
        <w:spacing w:beforeAutospacing="0" w:afterAutospacing="0" w:line="560" w:lineRule="exact"/>
        <w:ind w:firstLine="640" w:firstLineChars="200"/>
        <w:rPr>
          <w:rFonts w:hint="eastAsia" w:ascii="Times New Roman" w:hAnsi="Times New Roman" w:eastAsia="宋体" w:cs="Times New Roman"/>
          <w:sz w:val="32"/>
          <w:lang w:val="en-US" w:eastAsia="zh-CN"/>
        </w:rPr>
      </w:pPr>
      <w:r>
        <w:rPr>
          <w:rFonts w:hint="eastAsia" w:ascii="Times New Roman" w:hAnsi="Times New Roman" w:eastAsia="仿宋_GB2312" w:cs="Times New Roman"/>
          <w:sz w:val="32"/>
          <w:lang w:val="en-US" w:eastAsia="zh-CN"/>
        </w:rPr>
        <w:t>该项目是在校级精品课程《煤矿安全技术》课程的基础上申报的，目前该课程已在超星泛雅网络教学平台运行两个学期，建成视频28个，文档22个，章节资源50个，题库数量253个，选课学生数量达500余人，课程活动量累计2.5万次，课程访问量11.2万次。</w:t>
      </w:r>
    </w:p>
    <w:p w14:paraId="6DBEC3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方正小标宋简体" w:hAnsi="方正小标宋简体" w:eastAsia="方正小标宋简体" w:cs="方正小标宋简体"/>
          <w:sz w:val="32"/>
          <w:szCs w:val="32"/>
          <w:lang w:val="en-US" w:eastAsia="zh-CN"/>
        </w:rPr>
      </w:pPr>
      <w:bookmarkStart w:id="4" w:name="_Toc30057"/>
      <w:r>
        <w:rPr>
          <w:rFonts w:hint="eastAsia" w:ascii="方正小标宋简体" w:hAnsi="方正小标宋简体" w:eastAsia="方正小标宋简体" w:cs="方正小标宋简体"/>
          <w:sz w:val="32"/>
          <w:szCs w:val="32"/>
          <w:lang w:val="en-US" w:eastAsia="zh-CN"/>
        </w:rPr>
        <w:t>二、建设基础</w:t>
      </w:r>
      <w:bookmarkEnd w:id="4"/>
    </w:p>
    <w:p w14:paraId="58F36A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楷体" w:hAnsi="楷体" w:eastAsia="楷体" w:cs="楷体"/>
          <w:b/>
          <w:bCs/>
          <w:sz w:val="32"/>
          <w:lang w:val="en-US" w:eastAsia="zh-CN"/>
        </w:rPr>
      </w:pPr>
      <w:bookmarkStart w:id="5" w:name="_Toc15888"/>
      <w:r>
        <w:rPr>
          <w:rFonts w:hint="eastAsia" w:ascii="楷体" w:hAnsi="楷体" w:eastAsia="楷体" w:cs="楷体"/>
          <w:b/>
          <w:bCs/>
          <w:sz w:val="32"/>
          <w:lang w:val="en-US" w:eastAsia="zh-CN"/>
        </w:rPr>
        <w:t>（一）资源建设基础</w:t>
      </w:r>
      <w:bookmarkEnd w:id="5"/>
    </w:p>
    <w:p w14:paraId="0302EF0A">
      <w:pPr>
        <w:pageBreakBefore w:val="0"/>
        <w:kinsoku/>
        <w:wordWrap/>
        <w:overflowPunct/>
        <w:topLinePunct w:val="0"/>
        <w:bidi w:val="0"/>
        <w:spacing w:beforeAutospacing="0" w:afterAutospacing="0" w:line="560" w:lineRule="exact"/>
        <w:ind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煤矿智能开采技术专业现已建成面向煤炭一线岗位的</w:t>
      </w:r>
      <w:r>
        <w:rPr>
          <w:rFonts w:hint="eastAsia" w:ascii="Times New Roman" w:hAnsi="Times New Roman" w:eastAsia="仿宋_GB2312"/>
          <w:b/>
          <w:bCs/>
          <w:sz w:val="32"/>
          <w:lang w:val="en-US" w:eastAsia="zh-CN"/>
        </w:rPr>
        <w:t>矿山地质、井下救援、矿井通风、矿山测量</w:t>
      </w:r>
      <w:r>
        <w:rPr>
          <w:rFonts w:hint="eastAsia" w:ascii="Times New Roman" w:hAnsi="Times New Roman" w:eastAsia="仿宋_GB2312"/>
          <w:sz w:val="32"/>
          <w:lang w:val="en-US" w:eastAsia="zh-CN"/>
        </w:rPr>
        <w:t>等方面实训基地；应急救援技术专业现已建成面向矿山救援岗位的应急救援实习实训基地。同时，通过联合学校、企合作等措施建立</w:t>
      </w:r>
      <w:r>
        <w:rPr>
          <w:rFonts w:hint="eastAsia" w:ascii="Times New Roman" w:hAnsi="Times New Roman" w:eastAsia="仿宋_GB2312"/>
          <w:b/>
          <w:bCs/>
          <w:sz w:val="32"/>
          <w:lang w:val="en-US" w:eastAsia="zh-CN"/>
        </w:rPr>
        <w:t>智能煤矿开采教学实训基地、安全技术与管理教学实训基地、应急管理专业教学实训基地、煤炭清洁利用专业教学实训基地</w:t>
      </w:r>
      <w:r>
        <w:rPr>
          <w:rFonts w:hint="eastAsia" w:ascii="Times New Roman" w:hAnsi="Times New Roman" w:eastAsia="仿宋_GB2312"/>
          <w:sz w:val="32"/>
          <w:lang w:val="en-US" w:eastAsia="zh-CN"/>
        </w:rPr>
        <w:t>等四个板块。</w:t>
      </w:r>
    </w:p>
    <w:p w14:paraId="204BE9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6" w:name="_Toc2706"/>
      <w:r>
        <w:rPr>
          <w:rFonts w:hint="eastAsia" w:ascii="楷体" w:hAnsi="楷体" w:eastAsia="楷体" w:cs="楷体"/>
          <w:b/>
          <w:bCs/>
          <w:sz w:val="32"/>
          <w:lang w:val="en-US" w:eastAsia="zh-CN"/>
        </w:rPr>
        <w:t>（二）项目团队条件</w:t>
      </w:r>
      <w:bookmarkEnd w:id="6"/>
    </w:p>
    <w:p w14:paraId="0F7920E3">
      <w:pPr>
        <w:pageBreakBefore w:val="0"/>
        <w:kinsoku/>
        <w:wordWrap/>
        <w:overflowPunct/>
        <w:topLinePunct w:val="0"/>
        <w:bidi w:val="0"/>
        <w:spacing w:beforeAutospacing="0" w:afterAutospacing="0" w:line="560" w:lineRule="exact"/>
        <w:ind w:firstLine="640" w:firstLineChars="200"/>
        <w:jc w:val="both"/>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项目团队成员为校内</w:t>
      </w:r>
      <w:r>
        <w:rPr>
          <w:rFonts w:hint="eastAsia" w:ascii="Times New Roman" w:hAnsi="Times New Roman" w:eastAsia="仿宋_GB2312"/>
          <w:b/>
          <w:bCs/>
          <w:sz w:val="32"/>
          <w:lang w:val="en-US" w:eastAsia="zh-CN"/>
        </w:rPr>
        <w:t>专业任课教师+企业资深专家</w:t>
      </w:r>
      <w:r>
        <w:rPr>
          <w:rFonts w:hint="eastAsia" w:ascii="Times New Roman" w:hAnsi="Times New Roman" w:eastAsia="仿宋_GB2312"/>
          <w:sz w:val="32"/>
          <w:lang w:val="en-US" w:eastAsia="zh-CN"/>
        </w:rPr>
        <w:t>，项目负责人为土木工程系党总支书记，项目成员为矿业工程专业、采矿工程专业、矿业工程专业以及</w:t>
      </w:r>
      <w:r>
        <w:rPr>
          <w:rFonts w:hint="eastAsia" w:ascii="Times New Roman" w:hAnsi="Times New Roman" w:eastAsia="仿宋_GB2312" w:cs="Times New Roman"/>
          <w:sz w:val="32"/>
          <w:lang w:val="en-US" w:eastAsia="zh-CN"/>
        </w:rPr>
        <w:t>金沙吉顺煤矿工程师</w:t>
      </w:r>
      <w:r>
        <w:rPr>
          <w:rFonts w:hint="eastAsia" w:ascii="Times New Roman" w:hAnsi="Times New Roman" w:eastAsia="仿宋_GB2312"/>
          <w:sz w:val="32"/>
          <w:lang w:val="en-US" w:eastAsia="zh-CN"/>
        </w:rPr>
        <w:t>。校内教师常年在教学</w:t>
      </w:r>
      <w:r>
        <w:rPr>
          <w:rFonts w:hint="eastAsia" w:ascii="Times New Roman" w:hAnsi="Times New Roman" w:eastAsia="仿宋_GB2312"/>
          <w:b/>
          <w:bCs/>
          <w:sz w:val="32"/>
          <w:lang w:val="en-US" w:eastAsia="zh-CN"/>
        </w:rPr>
        <w:t>一线工作</w:t>
      </w:r>
      <w:r>
        <w:rPr>
          <w:rFonts w:hint="eastAsia" w:ascii="Times New Roman" w:hAnsi="Times New Roman" w:eastAsia="仿宋_GB2312"/>
          <w:sz w:val="32"/>
          <w:lang w:val="en-US" w:eastAsia="zh-CN"/>
        </w:rPr>
        <w:t>，具</w:t>
      </w:r>
      <w:r>
        <w:rPr>
          <w:rFonts w:hint="eastAsia" w:ascii="Times New Roman" w:hAnsi="Times New Roman" w:eastAsia="仿宋_GB2312" w:cs="Times New Roman"/>
          <w:sz w:val="32"/>
          <w:lang w:val="en-US" w:eastAsia="zh-CN"/>
        </w:rPr>
        <w:t>备强有力的教学能力和科研能力；企业专家对矿山地质内容十分熟悉且具备良好的实践操作能力，为团</w:t>
      </w:r>
      <w:r>
        <w:rPr>
          <w:rFonts w:hint="eastAsia" w:ascii="Times New Roman" w:hAnsi="Times New Roman" w:eastAsia="仿宋_GB2312"/>
          <w:sz w:val="32"/>
          <w:lang w:val="en-US" w:eastAsia="zh-CN"/>
        </w:rPr>
        <w:t>队的课程建设提供实践基地保障。</w:t>
      </w:r>
    </w:p>
    <w:p w14:paraId="6F9859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7" w:name="_Toc6491"/>
      <w:bookmarkStart w:id="8" w:name="_Toc11106"/>
      <w:r>
        <w:rPr>
          <w:rFonts w:hint="eastAsia" w:ascii="方正小标宋简体" w:hAnsi="方正小标宋简体" w:eastAsia="方正小标宋简体" w:cs="方正小标宋简体"/>
          <w:sz w:val="32"/>
          <w:szCs w:val="32"/>
          <w:lang w:val="en-US" w:eastAsia="zh-CN"/>
        </w:rPr>
        <w:t>三、建设目标</w:t>
      </w:r>
      <w:bookmarkEnd w:id="7"/>
      <w:bookmarkEnd w:id="8"/>
    </w:p>
    <w:p w14:paraId="30E59B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9" w:name="_Toc653529620"/>
      <w:bookmarkStart w:id="10" w:name="_Toc6406"/>
      <w:bookmarkStart w:id="11" w:name="_Toc31103"/>
      <w:bookmarkStart w:id="12" w:name="_Toc167477188"/>
      <w:bookmarkStart w:id="13" w:name="_Toc8750"/>
      <w:r>
        <w:rPr>
          <w:rFonts w:hint="eastAsia" w:ascii="楷体" w:hAnsi="楷体" w:eastAsia="楷体" w:cs="楷体"/>
          <w:b/>
          <w:bCs/>
          <w:sz w:val="32"/>
          <w:lang w:val="en-US" w:eastAsia="zh-CN"/>
        </w:rPr>
        <w:t>（一）以知识图谱“小切口”推动智慧课程</w:t>
      </w:r>
      <w:bookmarkEnd w:id="9"/>
      <w:r>
        <w:rPr>
          <w:rFonts w:hint="eastAsia" w:ascii="楷体" w:hAnsi="楷体" w:eastAsia="楷体" w:cs="楷体"/>
          <w:b/>
          <w:bCs/>
          <w:sz w:val="32"/>
          <w:lang w:val="en-US" w:eastAsia="zh-CN"/>
        </w:rPr>
        <w:t>升级</w:t>
      </w:r>
      <w:bookmarkEnd w:id="10"/>
      <w:bookmarkEnd w:id="11"/>
      <w:bookmarkEnd w:id="12"/>
    </w:p>
    <w:bookmarkEnd w:id="13"/>
    <w:p w14:paraId="4AF6F56F">
      <w:pPr>
        <w:pageBreakBefore w:val="0"/>
        <w:kinsoku/>
        <w:wordWrap/>
        <w:overflowPunct/>
        <w:topLinePunct w:val="0"/>
        <w:bidi w:val="0"/>
        <w:adjustRightInd w:val="0"/>
        <w:snapToGrid w:val="0"/>
        <w:spacing w:beforeAutospacing="0" w:afterAutospacing="0" w:line="560" w:lineRule="exact"/>
        <w:ind w:firstLine="640" w:firstLineChars="200"/>
        <w:rPr>
          <w:rFonts w:hint="eastAsia" w:ascii="Calibri" w:hAnsi="Calibri" w:eastAsia="宋体" w:cs="Times New Roman"/>
          <w:kern w:val="2"/>
          <w:sz w:val="21"/>
          <w:szCs w:val="24"/>
          <w:lang w:val="en-US" w:eastAsia="zh-CN" w:bidi="ar-SA"/>
        </w:rPr>
      </w:pPr>
      <w:bookmarkStart w:id="14" w:name="_Toc15930"/>
      <w:bookmarkStart w:id="15" w:name="_Toc11130"/>
      <w:r>
        <w:rPr>
          <w:rFonts w:hint="eastAsia" w:ascii="Times New Roman" w:hAnsi="Times New Roman" w:eastAsia="仿宋_GB2312" w:cs="Times New Roman"/>
          <w:kern w:val="2"/>
          <w:sz w:val="32"/>
          <w:szCs w:val="24"/>
          <w:lang w:val="en-US" w:eastAsia="zh-CN" w:bidi="ar-SA"/>
        </w:rPr>
        <w:t>《煤矿安全技术》省级一流核心课程采用“知识点—课程知识图谱—课程群知识图谱”分层构建模式，依托知识图谱突破传统课程组织形式，推动课程智慧化升级。构建可视化课程知识图谱，标注知识点关联并呈现，按知识点粒度整合教学资源。设定明确教学目标指导课程改进与实施，借助</w:t>
      </w:r>
      <w:r>
        <w:rPr>
          <w:rFonts w:hint="eastAsia" w:ascii="Times New Roman" w:hAnsi="Times New Roman" w:eastAsia="仿宋_GB2312" w:cs="Times New Roman"/>
          <w:b/>
          <w:bCs/>
          <w:kern w:val="2"/>
          <w:sz w:val="32"/>
          <w:szCs w:val="24"/>
          <w:lang w:val="en-US" w:eastAsia="zh-CN" w:bidi="ar-SA"/>
        </w:rPr>
        <w:t>知识图谱</w:t>
      </w:r>
      <w:r>
        <w:rPr>
          <w:rFonts w:hint="eastAsia" w:ascii="Times New Roman" w:hAnsi="Times New Roman" w:eastAsia="仿宋_GB2312" w:cs="Times New Roman"/>
          <w:kern w:val="2"/>
          <w:sz w:val="32"/>
          <w:szCs w:val="24"/>
          <w:lang w:val="en-US" w:eastAsia="zh-CN" w:bidi="ar-SA"/>
        </w:rPr>
        <w:t>串联教学过程，为智能教育服务提供支撑，实现知识互鉴、融通与联动，打破学科壁垒，支持多模态资源建设及教学效果精准评价。</w:t>
      </w:r>
    </w:p>
    <w:p w14:paraId="6AA9B0B9">
      <w:pPr>
        <w:pageBreakBefore w:val="0"/>
        <w:kinsoku/>
        <w:wordWrap/>
        <w:overflowPunct/>
        <w:topLinePunct w:val="0"/>
        <w:bidi w:val="0"/>
        <w:adjustRightInd w:val="0"/>
        <w:snapToGrid w:val="0"/>
        <w:spacing w:beforeAutospacing="0" w:afterAutospacing="0" w:line="560" w:lineRule="exact"/>
        <w:ind w:firstLine="640" w:firstLineChars="200"/>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kern w:val="2"/>
          <w:sz w:val="32"/>
          <w:szCs w:val="24"/>
          <w:lang w:val="en-US" w:eastAsia="zh-CN" w:bidi="ar-SA"/>
        </w:rPr>
        <w:t>同时，围绕真实复杂问题搭建高阶学习框架，构建由基本问题、组合问题、疑难复杂问题逐层关联的</w:t>
      </w:r>
      <w:r>
        <w:rPr>
          <w:rFonts w:hint="eastAsia" w:ascii="Times New Roman" w:hAnsi="Times New Roman" w:eastAsia="仿宋_GB2312" w:cs="Times New Roman"/>
          <w:b/>
          <w:bCs/>
          <w:kern w:val="2"/>
          <w:sz w:val="32"/>
          <w:szCs w:val="24"/>
          <w:lang w:val="en-US" w:eastAsia="zh-CN" w:bidi="ar-SA"/>
        </w:rPr>
        <w:t>问题图谱</w:t>
      </w:r>
      <w:r>
        <w:rPr>
          <w:rFonts w:hint="eastAsia" w:ascii="Times New Roman" w:hAnsi="Times New Roman" w:eastAsia="仿宋_GB2312" w:cs="Times New Roman"/>
          <w:kern w:val="2"/>
          <w:sz w:val="32"/>
          <w:szCs w:val="24"/>
          <w:lang w:val="en-US" w:eastAsia="zh-CN" w:bidi="ar-SA"/>
        </w:rPr>
        <w:t>；结合课程思政主线梳理形成课程</w:t>
      </w:r>
      <w:r>
        <w:rPr>
          <w:rFonts w:hint="eastAsia" w:ascii="Times New Roman" w:hAnsi="Times New Roman" w:eastAsia="仿宋_GB2312" w:cs="Times New Roman"/>
          <w:b/>
          <w:bCs/>
          <w:kern w:val="2"/>
          <w:sz w:val="32"/>
          <w:szCs w:val="24"/>
          <w:lang w:val="en-US" w:eastAsia="zh-CN" w:bidi="ar-SA"/>
        </w:rPr>
        <w:t>思政图谱</w:t>
      </w:r>
      <w:r>
        <w:rPr>
          <w:rFonts w:hint="eastAsia" w:ascii="Times New Roman" w:hAnsi="Times New Roman" w:eastAsia="仿宋_GB2312" w:cs="Times New Roman"/>
          <w:kern w:val="2"/>
          <w:sz w:val="32"/>
          <w:szCs w:val="24"/>
          <w:lang w:val="en-US" w:eastAsia="zh-CN" w:bidi="ar-SA"/>
        </w:rPr>
        <w:t>，推动课程思政教学融入课程活动。</w:t>
      </w:r>
      <w:bookmarkStart w:id="16" w:name="_Toc8750_ai"/>
      <w:bookmarkEnd w:id="16"/>
      <w:bookmarkStart w:id="17" w:name="_Toc10461_ai"/>
      <w:bookmarkEnd w:id="17"/>
    </w:p>
    <w:p w14:paraId="2EBB4C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18" w:name="_Toc15134"/>
      <w:r>
        <w:rPr>
          <w:rFonts w:hint="eastAsia" w:ascii="楷体" w:hAnsi="楷体" w:eastAsia="楷体" w:cs="楷体"/>
          <w:b/>
          <w:bCs/>
          <w:sz w:val="32"/>
          <w:lang w:val="en-US" w:eastAsia="zh-CN"/>
        </w:rPr>
        <w:t>（二）AI助教赋能师生智慧化教学</w:t>
      </w:r>
      <w:bookmarkEnd w:id="14"/>
      <w:bookmarkEnd w:id="18"/>
    </w:p>
    <w:p w14:paraId="69A92E71">
      <w:pPr>
        <w:pageBreakBefore w:val="0"/>
        <w:kinsoku/>
        <w:wordWrap/>
        <w:overflowPunct/>
        <w:topLinePunct w:val="0"/>
        <w:bidi w:val="0"/>
        <w:adjustRightInd w:val="0"/>
        <w:snapToGrid w:val="0"/>
        <w:spacing w:beforeAutospacing="0" w:afterAutospacing="0" w:line="560" w:lineRule="exact"/>
        <w:ind w:firstLine="640" w:firstLineChars="200"/>
        <w:rPr>
          <w:rFonts w:hint="eastAsia"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b w:val="0"/>
          <w:bCs w:val="0"/>
          <w:kern w:val="2"/>
          <w:sz w:val="32"/>
          <w:szCs w:val="24"/>
          <w:lang w:val="en-US" w:eastAsia="zh-CN" w:bidi="ar-SA"/>
        </w:rPr>
        <w:t>将人工智能技术——AI助教全面融入《煤矿安全技术》省级一流核心课程，实现基于AIGC的课程内容迭代、教学方法改革、教学评价优化、智能教学助手、智能教学管理、智能学伴等服务，全面推动以智助学、以智助教、以智助管等人工智能应用场景的落地，并赋能一流核心课程建设与运行的全流程管理，推动一流核心课程迈向“智能+”时代。</w:t>
      </w:r>
    </w:p>
    <w:p w14:paraId="1FC4A3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19" w:name="_Toc167477190"/>
      <w:bookmarkStart w:id="20" w:name="_Toc24708"/>
      <w:bookmarkStart w:id="21" w:name="_Toc16892"/>
      <w:r>
        <w:rPr>
          <w:rFonts w:hint="eastAsia" w:ascii="楷体" w:hAnsi="楷体" w:eastAsia="楷体" w:cs="楷体"/>
          <w:b/>
          <w:bCs/>
          <w:sz w:val="32"/>
          <w:lang w:val="en-US" w:eastAsia="zh-CN"/>
        </w:rPr>
        <w:t>（三）以智慧教学新范式促进教学模式深度改革</w:t>
      </w:r>
      <w:bookmarkEnd w:id="19"/>
      <w:bookmarkEnd w:id="20"/>
      <w:bookmarkEnd w:id="21"/>
    </w:p>
    <w:p w14:paraId="2587D074">
      <w:pPr>
        <w:pageBreakBefore w:val="0"/>
        <w:kinsoku/>
        <w:wordWrap/>
        <w:overflowPunct/>
        <w:topLinePunct w:val="0"/>
        <w:bidi w:val="0"/>
        <w:adjustRightInd w:val="0"/>
        <w:snapToGrid w:val="0"/>
        <w:spacing w:beforeAutospacing="0" w:afterAutospacing="0" w:line="560" w:lineRule="exact"/>
        <w:ind w:firstLine="640" w:firstLineChars="200"/>
        <w:rPr>
          <w:rFonts w:hint="eastAsia"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b w:val="0"/>
          <w:bCs w:val="0"/>
          <w:kern w:val="2"/>
          <w:sz w:val="32"/>
          <w:szCs w:val="24"/>
          <w:lang w:val="en-US" w:eastAsia="zh-CN" w:bidi="ar-SA"/>
        </w:rPr>
        <w:t>该课程基于大数据和智能计算驱动，通过人机互动、数据共享、知识互联，规划个性化学习路径，打破传统的固定化的学习模式，学生可根据课程需要和特点以及个人知识点掌握情况选择性学习，提高学习效率和课程成绩。教师通过查看学生对知识图谱的使用轨迹和频率，掌握每位学生的知识掌握情况，从而可以进行有针对性的教学，为培养学生的职业学习能力和判断能力奠定基础。通过多种教学方式提升学生的逻辑思维能力，最终形成教师教学质量、学生学习成绩、课程教学效果互相提高的良性循环。</w:t>
      </w:r>
    </w:p>
    <w:p w14:paraId="64BBB3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22" w:name="_Toc13478"/>
      <w:r>
        <w:rPr>
          <w:rFonts w:hint="eastAsia" w:ascii="楷体" w:hAnsi="楷体" w:eastAsia="楷体" w:cs="楷体"/>
          <w:b/>
          <w:bCs/>
          <w:sz w:val="32"/>
          <w:lang w:val="en-US" w:eastAsia="zh-CN"/>
        </w:rPr>
        <w:t>（四）添加“虚拟仿真”实训内容，克服专业难题</w:t>
      </w:r>
      <w:bookmarkEnd w:id="22"/>
    </w:p>
    <w:p w14:paraId="44A27276">
      <w:pPr>
        <w:pageBreakBefore w:val="0"/>
        <w:kinsoku/>
        <w:wordWrap/>
        <w:overflowPunct/>
        <w:topLinePunct w:val="0"/>
        <w:bidi w:val="0"/>
        <w:adjustRightInd w:val="0"/>
        <w:snapToGrid w:val="0"/>
        <w:spacing w:beforeAutospacing="0" w:afterAutospacing="0" w:line="560" w:lineRule="exact"/>
        <w:ind w:firstLine="640" w:firstLineChars="200"/>
        <w:rPr>
          <w:rFonts w:hint="default"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该课程实训场所主要位于井下，受限于复杂地质条件与安全管控要求，学生难以开展现场实操训练。通过引入虚拟仿真教学系统，构建1:1还原的井下三维场景，可实现矿井灾害模拟、设备操作等核心实训项目的沉浸式训练。系统支持反复演练与错误回溯，既能规避井下瓦斯、顶板等安全风险，又能突破时空限制提升实训频次，有效破解传统实习“看的多、做的少”的困境，构建安全高效的实践教学新模式。</w:t>
      </w:r>
    </w:p>
    <w:p w14:paraId="4D8D23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方正小标宋简体" w:hAnsi="方正小标宋简体" w:eastAsia="方正小标宋简体" w:cs="方正小标宋简体"/>
          <w:sz w:val="32"/>
          <w:szCs w:val="32"/>
          <w:lang w:val="en-US" w:eastAsia="zh-CN"/>
        </w:rPr>
      </w:pPr>
      <w:bookmarkStart w:id="23" w:name="_Toc6860"/>
      <w:r>
        <w:rPr>
          <w:rFonts w:hint="eastAsia" w:ascii="方正小标宋简体" w:hAnsi="方正小标宋简体" w:eastAsia="方正小标宋简体" w:cs="方正小标宋简体"/>
          <w:sz w:val="32"/>
          <w:szCs w:val="32"/>
          <w:lang w:val="en-US" w:eastAsia="zh-CN"/>
        </w:rPr>
        <w:t>四、建设内容</w:t>
      </w:r>
      <w:bookmarkEnd w:id="15"/>
      <w:bookmarkEnd w:id="23"/>
    </w:p>
    <w:p w14:paraId="35AAED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楷体" w:hAnsi="楷体" w:eastAsia="楷体" w:cs="楷体"/>
          <w:b/>
          <w:bCs/>
          <w:sz w:val="32"/>
          <w:lang w:val="en-US" w:eastAsia="zh-CN"/>
        </w:rPr>
      </w:pPr>
      <w:bookmarkStart w:id="24" w:name="_Toc29215"/>
      <w:r>
        <w:rPr>
          <w:rFonts w:hint="eastAsia" w:ascii="楷体" w:hAnsi="楷体" w:eastAsia="楷体" w:cs="楷体"/>
          <w:b/>
          <w:bCs/>
          <w:sz w:val="32"/>
          <w:lang w:val="en-US" w:eastAsia="zh-CN"/>
        </w:rPr>
        <w:t>（一）课程体系重构</w:t>
      </w:r>
      <w:bookmarkEnd w:id="24"/>
    </w:p>
    <w:p w14:paraId="594C80FA">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按照“线上+线下混合式教学”的教学设计模式完成课程教学设计及相关文档，包括</w:t>
      </w:r>
      <w:r>
        <w:rPr>
          <w:rFonts w:hint="eastAsia" w:ascii="Times New Roman" w:hAnsi="Times New Roman" w:eastAsia="仿宋_GB2312" w:cs="Times New Roman"/>
          <w:b/>
          <w:bCs/>
          <w:kern w:val="2"/>
          <w:sz w:val="32"/>
          <w:szCs w:val="24"/>
          <w:lang w:val="en-US" w:eastAsia="zh-CN" w:bidi="ar-SA"/>
        </w:rPr>
        <w:t>课程简介、课程标准、课程设计、单元教学设计、考核标准、教学日历、学习指南</w:t>
      </w:r>
      <w:r>
        <w:rPr>
          <w:rFonts w:hint="eastAsia" w:ascii="Times New Roman" w:hAnsi="Times New Roman" w:eastAsia="仿宋_GB2312" w:cs="Times New Roman"/>
          <w:kern w:val="2"/>
          <w:sz w:val="32"/>
          <w:szCs w:val="24"/>
          <w:lang w:val="en-US" w:eastAsia="zh-CN" w:bidi="ar-SA"/>
        </w:rPr>
        <w:t>等。捋清资源清单，核算数量。进行线上线下一体化设计，对</w:t>
      </w:r>
      <w:r>
        <w:rPr>
          <w:rFonts w:hint="eastAsia" w:ascii="Times New Roman" w:hAnsi="Times New Roman" w:eastAsia="仿宋_GB2312" w:cs="Times New Roman"/>
          <w:b/>
          <w:bCs/>
          <w:kern w:val="2"/>
          <w:sz w:val="32"/>
          <w:szCs w:val="24"/>
          <w:lang w:val="en-US" w:eastAsia="zh-CN" w:bidi="ar-SA"/>
        </w:rPr>
        <w:t>课程的教学背景、教学目标、线上线下学时分配、教学内容组织与安排、考核方式</w:t>
      </w:r>
      <w:r>
        <w:rPr>
          <w:rFonts w:hint="eastAsia" w:ascii="Times New Roman" w:hAnsi="Times New Roman" w:eastAsia="仿宋_GB2312" w:cs="Times New Roman"/>
          <w:kern w:val="2"/>
          <w:sz w:val="32"/>
          <w:szCs w:val="24"/>
          <w:lang w:val="en-US" w:eastAsia="zh-CN" w:bidi="ar-SA"/>
        </w:rPr>
        <w:t>等进行教学设计。</w:t>
      </w:r>
    </w:p>
    <w:p w14:paraId="7D28DC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25" w:name="_Toc16962"/>
      <w:bookmarkStart w:id="26" w:name="_Toc14601"/>
      <w:r>
        <w:rPr>
          <w:rFonts w:hint="eastAsia" w:ascii="楷体" w:hAnsi="楷体" w:eastAsia="楷体" w:cs="楷体"/>
          <w:b/>
          <w:bCs/>
          <w:sz w:val="32"/>
          <w:lang w:val="en-US" w:eastAsia="zh-CN"/>
        </w:rPr>
        <w:t>（二）线上教学资源建设</w:t>
      </w:r>
      <w:bookmarkEnd w:id="25"/>
      <w:bookmarkEnd w:id="26"/>
    </w:p>
    <w:p w14:paraId="26E0C17F">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eastAsia" w:ascii="楷体" w:hAnsi="楷体" w:eastAsia="楷体" w:cs="楷体"/>
          <w:sz w:val="28"/>
          <w:szCs w:val="28"/>
        </w:rPr>
      </w:pPr>
      <w:bookmarkStart w:id="27" w:name="_Toc13617"/>
      <w:bookmarkStart w:id="28" w:name="_Toc6553"/>
      <w:r>
        <w:rPr>
          <w:rFonts w:hint="eastAsia" w:ascii="楷体" w:hAnsi="楷体" w:eastAsia="楷体" w:cs="楷体"/>
          <w:sz w:val="28"/>
          <w:szCs w:val="28"/>
          <w:lang w:val="en-US" w:eastAsia="zh-CN"/>
        </w:rPr>
        <w:t>1.微课</w:t>
      </w:r>
      <w:r>
        <w:rPr>
          <w:rFonts w:hint="eastAsia" w:ascii="楷体" w:hAnsi="楷体" w:eastAsia="楷体" w:cs="楷体"/>
          <w:sz w:val="28"/>
          <w:szCs w:val="28"/>
        </w:rPr>
        <w:t>视频资源制作</w:t>
      </w:r>
      <w:bookmarkEnd w:id="27"/>
      <w:bookmarkEnd w:id="28"/>
    </w:p>
    <w:p w14:paraId="48E4329A">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该项目前期完成了理论部分的拍摄，后续计划完成10个知识点，每个知识点拍摄视频时长约8-10分钟，总时长约100分钟。理论视频拍摄对教学内容进行设计，使课程层次清晰、突出重点、突破难点，同时融入课程思政元素。</w:t>
      </w:r>
    </w:p>
    <w:p w14:paraId="087C997C">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eastAsia" w:ascii="楷体" w:hAnsi="楷体" w:eastAsia="楷体" w:cs="楷体"/>
          <w:sz w:val="28"/>
          <w:szCs w:val="28"/>
          <w:lang w:val="en-US" w:eastAsia="zh-CN"/>
        </w:rPr>
      </w:pPr>
      <w:bookmarkStart w:id="29" w:name="_Toc14551"/>
      <w:bookmarkStart w:id="30" w:name="_Toc16718"/>
      <w:r>
        <w:rPr>
          <w:rFonts w:hint="eastAsia" w:ascii="楷体" w:hAnsi="楷体" w:eastAsia="楷体" w:cs="楷体"/>
          <w:sz w:val="28"/>
          <w:szCs w:val="28"/>
          <w:lang w:val="en-US" w:eastAsia="zh-CN"/>
        </w:rPr>
        <w:t>2.课程思政融入</w:t>
      </w:r>
      <w:bookmarkEnd w:id="29"/>
      <w:bookmarkEnd w:id="30"/>
    </w:p>
    <w:p w14:paraId="4E57F94F">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按照相关知识点，融入课程思政建设，梳理课程思政相关资源及融入课程方式，以“</w:t>
      </w:r>
      <w:r>
        <w:rPr>
          <w:rFonts w:hint="eastAsia" w:ascii="Times New Roman" w:hAnsi="Times New Roman" w:eastAsia="仿宋_GB2312" w:cs="Times New Roman"/>
          <w:b/>
          <w:bCs/>
          <w:kern w:val="2"/>
          <w:sz w:val="32"/>
          <w:szCs w:val="24"/>
          <w:lang w:val="en-US" w:eastAsia="zh-CN" w:bidi="ar-SA"/>
        </w:rPr>
        <w:t>培理念，树立德之本，践五行，固生命之盾</w:t>
      </w:r>
      <w:r>
        <w:rPr>
          <w:rFonts w:hint="eastAsia" w:ascii="Times New Roman" w:hAnsi="Times New Roman" w:eastAsia="仿宋_GB2312" w:cs="Times New Roman"/>
          <w:kern w:val="2"/>
          <w:sz w:val="32"/>
          <w:szCs w:val="24"/>
          <w:lang w:val="en-US" w:eastAsia="zh-CN" w:bidi="ar-SA"/>
        </w:rPr>
        <w:t>”为思政主线，实现</w:t>
      </w:r>
      <w:r>
        <w:rPr>
          <w:rFonts w:hint="eastAsia" w:ascii="Times New Roman" w:hAnsi="Times New Roman" w:eastAsia="仿宋_GB2312" w:cs="Times New Roman"/>
          <w:b/>
          <w:bCs/>
          <w:kern w:val="2"/>
          <w:sz w:val="32"/>
          <w:szCs w:val="24"/>
          <w:lang w:val="en-US" w:eastAsia="zh-CN" w:bidi="ar-SA"/>
        </w:rPr>
        <w:t>安全理念、品质理念、思维理念</w:t>
      </w:r>
      <w:r>
        <w:rPr>
          <w:rFonts w:hint="eastAsia" w:ascii="Times New Roman" w:hAnsi="Times New Roman" w:eastAsia="仿宋_GB2312" w:cs="Times New Roman"/>
          <w:kern w:val="2"/>
          <w:sz w:val="32"/>
          <w:szCs w:val="24"/>
          <w:lang w:val="en-US" w:eastAsia="zh-CN" w:bidi="ar-SA"/>
        </w:rPr>
        <w:t>共培，践行</w:t>
      </w:r>
      <w:r>
        <w:rPr>
          <w:rFonts w:hint="eastAsia" w:ascii="Times New Roman" w:hAnsi="Times New Roman" w:eastAsia="仿宋_GB2312" w:cs="Times New Roman"/>
          <w:b/>
          <w:bCs/>
          <w:kern w:val="2"/>
          <w:sz w:val="32"/>
          <w:szCs w:val="24"/>
          <w:lang w:val="en-US" w:eastAsia="zh-CN" w:bidi="ar-SA"/>
        </w:rPr>
        <w:t>自学探究、精操细练、精准预防、高效治理、护家安民</w:t>
      </w:r>
      <w:r>
        <w:rPr>
          <w:rFonts w:hint="eastAsia" w:ascii="Times New Roman" w:hAnsi="Times New Roman" w:eastAsia="仿宋_GB2312" w:cs="Times New Roman"/>
          <w:kern w:val="2"/>
          <w:sz w:val="32"/>
          <w:szCs w:val="24"/>
          <w:lang w:val="en-US" w:eastAsia="zh-CN" w:bidi="ar-SA"/>
        </w:rPr>
        <w:t>等技能。实现了课程思政主线和内容模块主线同向设计，双线归一，最终达到“</w:t>
      </w:r>
      <w:r>
        <w:rPr>
          <w:rFonts w:hint="eastAsia" w:ascii="Times New Roman" w:hAnsi="Times New Roman" w:eastAsia="仿宋_GB2312" w:cs="Times New Roman"/>
          <w:b/>
          <w:bCs/>
          <w:kern w:val="2"/>
          <w:sz w:val="32"/>
          <w:szCs w:val="24"/>
          <w:lang w:val="en-US" w:eastAsia="zh-CN" w:bidi="ar-SA"/>
        </w:rPr>
        <w:t>安全生产、绿色发展</w:t>
      </w:r>
      <w:r>
        <w:rPr>
          <w:rFonts w:hint="eastAsia" w:ascii="Times New Roman" w:hAnsi="Times New Roman" w:eastAsia="仿宋_GB2312" w:cs="Times New Roman"/>
          <w:kern w:val="2"/>
          <w:sz w:val="32"/>
          <w:szCs w:val="24"/>
          <w:lang w:val="en-US" w:eastAsia="zh-CN" w:bidi="ar-SA"/>
        </w:rPr>
        <w:t>”的思政总目标。同时，课件、视频中体现思政课程，融入红色教学资源，为受教者树立正确的</w:t>
      </w:r>
      <w:r>
        <w:rPr>
          <w:rFonts w:hint="eastAsia" w:ascii="Times New Roman" w:hAnsi="Times New Roman" w:eastAsia="仿宋_GB2312" w:cs="Times New Roman"/>
          <w:b/>
          <w:bCs/>
          <w:kern w:val="2"/>
          <w:sz w:val="32"/>
          <w:szCs w:val="24"/>
          <w:lang w:val="en-US" w:eastAsia="zh-CN" w:bidi="ar-SA"/>
        </w:rPr>
        <w:t>价值观</w:t>
      </w:r>
      <w:r>
        <w:rPr>
          <w:rFonts w:hint="eastAsia" w:ascii="Times New Roman" w:hAnsi="Times New Roman" w:eastAsia="仿宋_GB2312" w:cs="Times New Roman"/>
          <w:kern w:val="2"/>
          <w:sz w:val="32"/>
          <w:szCs w:val="24"/>
          <w:lang w:val="en-US" w:eastAsia="zh-CN" w:bidi="ar-SA"/>
        </w:rPr>
        <w:t>以及提升其</w:t>
      </w:r>
      <w:r>
        <w:rPr>
          <w:rFonts w:hint="eastAsia" w:ascii="Times New Roman" w:hAnsi="Times New Roman" w:eastAsia="仿宋_GB2312" w:cs="Times New Roman"/>
          <w:b/>
          <w:bCs/>
          <w:kern w:val="2"/>
          <w:sz w:val="32"/>
          <w:szCs w:val="24"/>
          <w:lang w:val="en-US" w:eastAsia="zh-CN" w:bidi="ar-SA"/>
        </w:rPr>
        <w:t>爱国情怀</w:t>
      </w:r>
      <w:r>
        <w:rPr>
          <w:rFonts w:hint="eastAsia" w:ascii="Times New Roman" w:hAnsi="Times New Roman" w:eastAsia="仿宋_GB2312" w:cs="Times New Roman"/>
          <w:kern w:val="2"/>
          <w:sz w:val="32"/>
          <w:szCs w:val="24"/>
          <w:lang w:val="en-US" w:eastAsia="zh-CN" w:bidi="ar-SA"/>
        </w:rPr>
        <w:t>。</w:t>
      </w:r>
    </w:p>
    <w:p w14:paraId="71405C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31" w:name="_Toc28509"/>
      <w:bookmarkStart w:id="32" w:name="_Toc358"/>
      <w:r>
        <w:rPr>
          <w:rFonts w:hint="eastAsia" w:ascii="楷体" w:hAnsi="楷体" w:eastAsia="楷体" w:cs="楷体"/>
          <w:b/>
          <w:bCs/>
          <w:sz w:val="32"/>
          <w:lang w:val="en-US" w:eastAsia="zh-CN"/>
        </w:rPr>
        <w:t>（三）数字化资源建设与应用</w:t>
      </w:r>
      <w:bookmarkEnd w:id="31"/>
      <w:bookmarkEnd w:id="32"/>
    </w:p>
    <w:p w14:paraId="088731FB">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1.知识图谱、问题图谱、技能图谱建设</w:t>
      </w:r>
    </w:p>
    <w:p w14:paraId="19FEBF0D">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结合课程的顶层设计重塑及课程教学相关的应用需求，确定</w:t>
      </w:r>
      <w:r>
        <w:rPr>
          <w:rFonts w:hint="eastAsia" w:ascii="Times New Roman" w:hAnsi="Times New Roman" w:eastAsia="仿宋_GB2312" w:cs="Times New Roman"/>
          <w:b/>
          <w:bCs/>
          <w:kern w:val="2"/>
          <w:sz w:val="32"/>
          <w:szCs w:val="24"/>
          <w:lang w:val="en-US" w:eastAsia="zh-CN" w:bidi="ar-SA"/>
        </w:rPr>
        <w:t>知识图谱</w:t>
      </w:r>
      <w:r>
        <w:rPr>
          <w:rFonts w:hint="eastAsia" w:ascii="Times New Roman" w:hAnsi="Times New Roman" w:eastAsia="仿宋_GB2312" w:cs="Times New Roman"/>
          <w:kern w:val="2"/>
          <w:sz w:val="32"/>
          <w:szCs w:val="24"/>
          <w:lang w:val="en-US" w:eastAsia="zh-CN" w:bidi="ar-SA"/>
        </w:rPr>
        <w:t>解构课程内容组织方式</w:t>
      </w:r>
      <w:bookmarkStart w:id="33" w:name="_Toc154315191"/>
      <w:r>
        <w:rPr>
          <w:rFonts w:hint="eastAsia" w:ascii="Times New Roman" w:hAnsi="Times New Roman" w:eastAsia="仿宋_GB2312" w:cs="Times New Roman"/>
          <w:kern w:val="2"/>
          <w:sz w:val="32"/>
          <w:szCs w:val="24"/>
          <w:lang w:val="en-US" w:eastAsia="zh-CN" w:bidi="ar-SA"/>
        </w:rPr>
        <w:t>。同时，梳理已有资源结构</w:t>
      </w:r>
      <w:bookmarkEnd w:id="33"/>
      <w:r>
        <w:rPr>
          <w:rFonts w:hint="eastAsia" w:ascii="Times New Roman" w:hAnsi="Times New Roman" w:eastAsia="仿宋_GB2312" w:cs="Times New Roman"/>
          <w:kern w:val="2"/>
          <w:sz w:val="32"/>
          <w:szCs w:val="24"/>
          <w:lang w:val="en-US" w:eastAsia="zh-CN" w:bidi="ar-SA"/>
        </w:rPr>
        <w:t>，包括人才培养方案、教学大纲、书籍教材等，作为知识图谱规划设计的重要材料支撑，整理已有的PPT、试题、文档、课堂实录视频等资源，对已有资源进行大致筛选和分类，便于后续更快捷地实现资源与知识点的挂接。</w:t>
      </w:r>
    </w:p>
    <w:p w14:paraId="04CAFA33">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Hans" w:bidi="ar-SA"/>
        </w:rPr>
      </w:pPr>
      <w:r>
        <w:rPr>
          <w:rFonts w:hint="eastAsia" w:ascii="Times New Roman" w:hAnsi="Times New Roman" w:eastAsia="仿宋_GB2312" w:cs="Times New Roman"/>
          <w:kern w:val="2"/>
          <w:sz w:val="32"/>
          <w:szCs w:val="24"/>
          <w:lang w:val="en-US" w:eastAsia="zh-Hans" w:bidi="ar-SA"/>
        </w:rPr>
        <w:t>通过将知识点与解决的问题进行关联，再汇总归纳为综合、概念、方法等大类问题，可以建设问题图谱，实现知识和应用的结合。</w:t>
      </w:r>
    </w:p>
    <w:p w14:paraId="5ECBF90B">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Hans" w:bidi="ar-SA"/>
        </w:rPr>
      </w:pPr>
      <w:r>
        <w:rPr>
          <w:rFonts w:hint="eastAsia" w:ascii="Times New Roman" w:hAnsi="Times New Roman" w:eastAsia="仿宋_GB2312" w:cs="Times New Roman"/>
          <w:kern w:val="2"/>
          <w:sz w:val="32"/>
          <w:szCs w:val="24"/>
          <w:lang w:val="en-US" w:eastAsia="zh-Hans" w:bidi="ar-SA"/>
        </w:rPr>
        <w:t>基于专业培养目标中的能力达成要求，梳理出支撑每一个</w:t>
      </w:r>
      <w:r>
        <w:rPr>
          <w:rFonts w:hint="eastAsia" w:ascii="Times New Roman" w:hAnsi="Times New Roman" w:eastAsia="仿宋_GB2312" w:cs="Times New Roman"/>
          <w:kern w:val="2"/>
          <w:sz w:val="32"/>
          <w:szCs w:val="24"/>
          <w:lang w:val="en-US" w:eastAsia="zh-CN" w:bidi="ar-SA"/>
        </w:rPr>
        <w:t>课程</w:t>
      </w:r>
      <w:r>
        <w:rPr>
          <w:rFonts w:hint="eastAsia" w:ascii="Times New Roman" w:hAnsi="Times New Roman" w:eastAsia="仿宋_GB2312" w:cs="Times New Roman"/>
          <w:kern w:val="2"/>
          <w:sz w:val="32"/>
          <w:szCs w:val="24"/>
          <w:lang w:val="en-US" w:eastAsia="zh-Hans" w:bidi="ar-SA"/>
        </w:rPr>
        <w:t>目标的知识点，构建</w:t>
      </w:r>
      <w:r>
        <w:rPr>
          <w:rFonts w:hint="eastAsia" w:ascii="Times New Roman" w:hAnsi="Times New Roman" w:eastAsia="仿宋_GB2312" w:cs="Times New Roman"/>
          <w:kern w:val="2"/>
          <w:sz w:val="32"/>
          <w:szCs w:val="24"/>
          <w:lang w:val="en-US" w:eastAsia="zh-CN" w:bidi="ar-SA"/>
        </w:rPr>
        <w:t>目标</w:t>
      </w:r>
      <w:r>
        <w:rPr>
          <w:rFonts w:hint="eastAsia" w:ascii="Times New Roman" w:hAnsi="Times New Roman" w:eastAsia="仿宋_GB2312" w:cs="Times New Roman"/>
          <w:kern w:val="2"/>
          <w:sz w:val="32"/>
          <w:szCs w:val="24"/>
          <w:lang w:val="en-US" w:eastAsia="zh-Hans" w:bidi="ar-SA"/>
        </w:rPr>
        <w:t>图谱。通过学生学习知识点后生成的掌握率，得出学生</w:t>
      </w:r>
      <w:r>
        <w:rPr>
          <w:rFonts w:hint="eastAsia" w:ascii="Times New Roman" w:hAnsi="Times New Roman" w:eastAsia="仿宋_GB2312" w:cs="Times New Roman"/>
          <w:kern w:val="2"/>
          <w:sz w:val="32"/>
          <w:szCs w:val="24"/>
          <w:lang w:val="en-US" w:eastAsia="zh-CN" w:bidi="ar-SA"/>
        </w:rPr>
        <w:t>目标</w:t>
      </w:r>
      <w:r>
        <w:rPr>
          <w:rFonts w:hint="eastAsia" w:ascii="Times New Roman" w:hAnsi="Times New Roman" w:eastAsia="仿宋_GB2312" w:cs="Times New Roman"/>
          <w:kern w:val="2"/>
          <w:sz w:val="32"/>
          <w:szCs w:val="24"/>
          <w:lang w:val="en-US" w:eastAsia="zh-Hans" w:bidi="ar-SA"/>
        </w:rPr>
        <w:t>达成度数据，绘制学生画像，帮助学校和教师深入分析学生在不同</w:t>
      </w:r>
      <w:r>
        <w:rPr>
          <w:rFonts w:hint="eastAsia" w:ascii="Times New Roman" w:hAnsi="Times New Roman" w:eastAsia="仿宋_GB2312" w:cs="Times New Roman"/>
          <w:kern w:val="2"/>
          <w:sz w:val="32"/>
          <w:szCs w:val="24"/>
          <w:lang w:val="en-US" w:eastAsia="zh-CN" w:bidi="ar-SA"/>
        </w:rPr>
        <w:t>目标和</w:t>
      </w:r>
      <w:r>
        <w:rPr>
          <w:rFonts w:hint="eastAsia" w:ascii="Times New Roman" w:hAnsi="Times New Roman" w:eastAsia="仿宋_GB2312" w:cs="Times New Roman"/>
          <w:kern w:val="2"/>
          <w:sz w:val="32"/>
          <w:szCs w:val="24"/>
          <w:lang w:val="en-US" w:eastAsia="zh-Hans" w:bidi="ar-SA"/>
        </w:rPr>
        <w:t>能力维度上的表现 ，从而更精准地进行后续教学改进和优化。</w:t>
      </w:r>
    </w:p>
    <w:p w14:paraId="6102A2AB">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eastAsia" w:ascii="楷体" w:hAnsi="楷体" w:eastAsia="楷体" w:cs="楷体"/>
          <w:sz w:val="28"/>
          <w:szCs w:val="28"/>
          <w:lang w:val="en-US" w:eastAsia="zh-CN"/>
        </w:rPr>
      </w:pPr>
      <w:bookmarkStart w:id="34" w:name="_Toc17571"/>
      <w:bookmarkStart w:id="35" w:name="_Toc6723"/>
      <w:r>
        <w:rPr>
          <w:rFonts w:hint="eastAsia" w:ascii="楷体" w:hAnsi="楷体" w:eastAsia="楷体" w:cs="楷体"/>
          <w:sz w:val="28"/>
          <w:szCs w:val="28"/>
          <w:lang w:val="en-US" w:eastAsia="zh-CN"/>
        </w:rPr>
        <w:t>2.《煤矿安全技术》省级一流核心课程教材出版</w:t>
      </w:r>
      <w:bookmarkEnd w:id="34"/>
      <w:bookmarkEnd w:id="35"/>
    </w:p>
    <w:p w14:paraId="488949F1">
      <w:pPr>
        <w:pageBreakBefore w:val="0"/>
        <w:kinsoku/>
        <w:wordWrap/>
        <w:overflowPunct/>
        <w:topLinePunct w:val="0"/>
        <w:bidi w:val="0"/>
        <w:spacing w:beforeAutospacing="0" w:afterAutospacing="0" w:line="560" w:lineRule="exact"/>
        <w:ind w:firstLine="640" w:firstLineChars="20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精品课程建设过程中，将重点编撰契合地方人才培养模式的《煤矿安全技术》教材。教材内容除囊括传统知识点外，还根据地区实际煤层地质情况，结合矿山企业，增加案例分析。教材各个小结中，主要利用二维码展现课程概况，其中主要以视频+PPT活页+动画来丰富教材。同时，教材内容将大量融入大数据分析方法，体现数据的真实可靠性，也能更加直观地体现知识点。教材主要服务煤矿智能开采技术、应急救援技术、安全技术与管理、煤炭清洁利用技术等涉煤专业，此外也为其他地质相关专业提供参考借鉴。</w:t>
      </w:r>
    </w:p>
    <w:p w14:paraId="2EB192B5">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default" w:ascii="楷体" w:hAnsi="楷体" w:eastAsia="楷体" w:cs="楷体"/>
          <w:sz w:val="28"/>
          <w:szCs w:val="28"/>
          <w:lang w:val="en-US" w:eastAsia="zh-CN"/>
        </w:rPr>
      </w:pPr>
      <w:bookmarkStart w:id="36" w:name="_Toc28912"/>
      <w:r>
        <w:rPr>
          <w:rFonts w:hint="eastAsia" w:ascii="楷体" w:hAnsi="楷体" w:eastAsia="楷体" w:cs="楷体"/>
          <w:sz w:val="28"/>
          <w:szCs w:val="28"/>
          <w:lang w:val="en-US" w:eastAsia="zh-CN"/>
        </w:rPr>
        <w:t>3.虚拟仿真项目建设</w:t>
      </w:r>
      <w:bookmarkEnd w:id="36"/>
    </w:p>
    <w:p w14:paraId="00DB72E6">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本项目需建成虚拟仿真资源5项以上，该建设内容依托“技能贵州”煤矿智能开采技术专业虚拟仿真项目建设，目前已基本建成。</w:t>
      </w:r>
    </w:p>
    <w:p w14:paraId="31E538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eastAsia" w:ascii="方正小标宋简体" w:hAnsi="方正小标宋简体" w:eastAsia="方正小标宋简体" w:cs="方正小标宋简体"/>
          <w:sz w:val="32"/>
          <w:szCs w:val="32"/>
          <w:lang w:val="en-US" w:eastAsia="zh-CN"/>
        </w:rPr>
      </w:pPr>
      <w:bookmarkStart w:id="37" w:name="_Toc31892"/>
      <w:bookmarkStart w:id="38" w:name="_Toc17161"/>
      <w:r>
        <w:rPr>
          <w:rFonts w:hint="eastAsia" w:ascii="方正小标宋简体" w:hAnsi="方正小标宋简体" w:eastAsia="方正小标宋简体" w:cs="方正小标宋简体"/>
          <w:sz w:val="32"/>
          <w:szCs w:val="32"/>
          <w:lang w:val="en-US" w:eastAsia="zh-CN"/>
        </w:rPr>
        <w:t>五</w:t>
      </w:r>
      <w:bookmarkEnd w:id="37"/>
      <w:r>
        <w:rPr>
          <w:rFonts w:hint="eastAsia" w:ascii="方正小标宋简体" w:hAnsi="方正小标宋简体" w:eastAsia="方正小标宋简体" w:cs="方正小标宋简体"/>
          <w:sz w:val="32"/>
          <w:szCs w:val="32"/>
          <w:lang w:val="en-US" w:eastAsia="zh-CN"/>
        </w:rPr>
        <w:t>、</w:t>
      </w:r>
      <w:bookmarkStart w:id="39" w:name="_Toc154315217"/>
      <w:bookmarkStart w:id="40" w:name="_Toc12042"/>
      <w:r>
        <w:rPr>
          <w:rFonts w:hint="eastAsia" w:ascii="方正小标宋简体" w:hAnsi="方正小标宋简体" w:eastAsia="方正小标宋简体" w:cs="方正小标宋简体"/>
          <w:sz w:val="32"/>
          <w:szCs w:val="32"/>
          <w:lang w:val="en-US" w:eastAsia="zh-CN"/>
        </w:rPr>
        <w:t>预期效果</w:t>
      </w:r>
      <w:bookmarkEnd w:id="38"/>
    </w:p>
    <w:p w14:paraId="584DB2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41" w:name="_Toc23697"/>
      <w:r>
        <w:rPr>
          <w:rFonts w:hint="eastAsia" w:ascii="楷体" w:hAnsi="楷体" w:eastAsia="楷体" w:cs="楷体"/>
          <w:b/>
          <w:bCs/>
          <w:sz w:val="32"/>
          <w:lang w:val="en-US" w:eastAsia="zh-CN"/>
        </w:rPr>
        <w:t>（一）</w:t>
      </w:r>
      <w:bookmarkEnd w:id="39"/>
      <w:r>
        <w:rPr>
          <w:rFonts w:hint="eastAsia" w:ascii="楷体" w:hAnsi="楷体" w:eastAsia="楷体" w:cs="楷体"/>
          <w:b/>
          <w:bCs/>
          <w:sz w:val="32"/>
          <w:lang w:val="en-US" w:eastAsia="zh-CN"/>
        </w:rPr>
        <w:t>《煤矿安全技术》省级一流核心课程赋能创新教学</w:t>
      </w:r>
      <w:bookmarkEnd w:id="40"/>
      <w:bookmarkEnd w:id="41"/>
    </w:p>
    <w:p w14:paraId="333B3D53">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利用知识图谱实施差异化、个性化、精准化教学，实现改善学习效果、提高教学效率、促进知识共享、支持跨学科学习、提高数据管理效率等目标，推动课程数字化转型和教学创新，提升一流课程建设水平。</w:t>
      </w:r>
    </w:p>
    <w:p w14:paraId="4C031B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42" w:name="_Toc27119"/>
      <w:bookmarkStart w:id="43" w:name="_Toc154315218"/>
      <w:bookmarkStart w:id="44" w:name="_Toc15280"/>
      <w:r>
        <w:rPr>
          <w:rFonts w:hint="eastAsia" w:ascii="楷体" w:hAnsi="楷体" w:eastAsia="楷体" w:cs="楷体"/>
          <w:b/>
          <w:bCs/>
          <w:sz w:val="32"/>
          <w:lang w:val="en-US" w:eastAsia="zh-CN"/>
        </w:rPr>
        <w:t>（二）《煤矿安全技术》省级一流核心课程助力我校优质专业建设</w:t>
      </w:r>
      <w:bookmarkEnd w:id="42"/>
      <w:bookmarkEnd w:id="43"/>
      <w:bookmarkEnd w:id="44"/>
    </w:p>
    <w:p w14:paraId="54293DEA">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通过建设专业核心课程知识图谱，聚合成专业知识图谱。同时，结合专业建设平台，可以建设一整套专业达成度系统，形成对课程和专业建设的监测闭环。</w:t>
      </w:r>
    </w:p>
    <w:p w14:paraId="71B21E0B">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通过在知识图谱课程的知识点中设立好教学目标，建立起知识点教学目标、课程目标、毕业要求、人才培养目标等多层级目标评价体系，通过自动的数据收集和专家评价，形成专业达成度的全面分析结果。为制定合理人才培养方案提供科学依据，促进高水平人才培养，指导专业建设不断改进，总结专业建设经验并对外推广展示。</w:t>
      </w:r>
    </w:p>
    <w:p w14:paraId="2D9982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45" w:name="_Toc20735"/>
      <w:bookmarkStart w:id="46" w:name="_Toc154315219"/>
      <w:bookmarkStart w:id="47" w:name="_Toc22438"/>
      <w:r>
        <w:rPr>
          <w:rFonts w:hint="eastAsia" w:ascii="楷体" w:hAnsi="楷体" w:eastAsia="楷体" w:cs="楷体"/>
          <w:b/>
          <w:bCs/>
          <w:sz w:val="32"/>
          <w:lang w:val="en-US" w:eastAsia="zh-CN"/>
        </w:rPr>
        <w:t>（三）支持数字教材出版</w:t>
      </w:r>
      <w:bookmarkEnd w:id="45"/>
      <w:bookmarkEnd w:id="46"/>
      <w:bookmarkEnd w:id="47"/>
    </w:p>
    <w:p w14:paraId="3E354693">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《煤矿安全技术》省级一流核心课程除了可以支撑教学，还可以进一步地拓展它的价值，比如支持数字教材出版。结合知识图谱为学生提供结构化、互动性的学习内容，推动数字教材发展。</w:t>
      </w:r>
    </w:p>
    <w:p w14:paraId="120F55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48" w:name="_Toc8704"/>
      <w:bookmarkStart w:id="49" w:name="_Toc167477203"/>
      <w:bookmarkStart w:id="50" w:name="_Toc3008"/>
      <w:r>
        <w:rPr>
          <w:rFonts w:hint="eastAsia" w:ascii="楷体" w:hAnsi="楷体" w:eastAsia="楷体" w:cs="楷体"/>
          <w:b/>
          <w:bCs/>
          <w:sz w:val="32"/>
          <w:lang w:val="en-US" w:eastAsia="zh-CN"/>
        </w:rPr>
        <w:t>（四）穿点成线：拓展构建人工智能+课程群、专业图谱</w:t>
      </w:r>
      <w:bookmarkEnd w:id="48"/>
      <w:bookmarkEnd w:id="49"/>
      <w:bookmarkEnd w:id="50"/>
      <w:r>
        <w:rPr>
          <w:rFonts w:hint="eastAsia" w:ascii="楷体" w:hAnsi="楷体" w:eastAsia="楷体" w:cs="楷体"/>
          <w:b/>
          <w:bCs/>
          <w:sz w:val="32"/>
          <w:lang w:val="en-US" w:eastAsia="zh-CN"/>
        </w:rPr>
        <w:t xml:space="preserve"> </w:t>
      </w:r>
    </w:p>
    <w:p w14:paraId="649F2192">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通过《煤矿安全技术》省级一流核心课程，以核心课程为基点，构建相互关联、层层递进的课程群知识图谱，打破课程边界，形成学科专业的完整知识链条，呈现横向融通、纵向贯通专业课程体系，帮助学生形成系统化的知识网络。</w:t>
      </w:r>
    </w:p>
    <w:p w14:paraId="57D0ED40">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同时可形成专业知识图谱，推进专业建设的科学化、可视化，并通过数据汇总分析获得学生课程目标达成情况，对专业达成情况的分析与评估，为专业管理人员建立持续改进专业或者教学方案提升提供客观数据依据。</w:t>
      </w:r>
    </w:p>
    <w:p w14:paraId="49618E39">
      <w:pPr>
        <w:pStyle w:val="11"/>
        <w:keepNext w:val="0"/>
        <w:keepLines w:val="0"/>
        <w:pageBreakBefore w:val="0"/>
        <w:kinsoku/>
        <w:wordWrap/>
        <w:overflowPunct/>
        <w:topLinePunct w:val="0"/>
        <w:autoSpaceDE/>
        <w:autoSpaceDN/>
        <w:bidi w:val="0"/>
        <w:outlineLvl w:val="9"/>
        <w:rPr>
          <w:rFonts w:hint="eastAsia" w:ascii="宋体" w:hAnsi="宋体" w:eastAsia="宋体" w:cs="宋体"/>
          <w:b w:val="0"/>
          <w:bCs w:val="0"/>
          <w:kern w:val="0"/>
          <w:sz w:val="28"/>
          <w:szCs w:val="28"/>
          <w:lang w:val="en-US" w:eastAsia="zh-CN"/>
        </w:rPr>
      </w:pPr>
    </w:p>
    <w:p w14:paraId="54EA4031">
      <w:pPr>
        <w:ind w:left="0" w:leftChars="0" w:firstLine="420" w:firstLineChars="200"/>
        <w:rPr>
          <w:rFonts w:hint="default" w:ascii="仿宋" w:hAnsi="仿宋" w:eastAsia="仿宋" w:cs="仿宋"/>
          <w:b w:val="0"/>
          <w:bCs w:val="0"/>
          <w:color w:val="auto"/>
          <w:lang w:val="en-US" w:eastAsia="zh-CN"/>
        </w:rPr>
      </w:pPr>
    </w:p>
    <w:p w14:paraId="6B6AE7C5">
      <w:pPr>
        <w:pStyle w:val="10"/>
        <w:spacing w:line="576" w:lineRule="exact"/>
        <w:outlineLvl w:val="0"/>
        <w:rPr>
          <w:rFonts w:hint="eastAsia" w:ascii="方正小标宋简体" w:hAnsi="方正小标宋简体" w:eastAsia="方正小标宋简体" w:cs="方正小标宋简体"/>
          <w:sz w:val="44"/>
          <w:szCs w:val="44"/>
        </w:rPr>
      </w:pPr>
    </w:p>
    <w:bookmarkEnd w:id="0"/>
    <w:p w14:paraId="4EFD84E9">
      <w:pPr>
        <w:pStyle w:val="11"/>
        <w:keepNext w:val="0"/>
        <w:keepLines w:val="0"/>
        <w:pageBreakBefore w:val="0"/>
        <w:kinsoku/>
        <w:wordWrap/>
        <w:overflowPunct/>
        <w:topLinePunct w:val="0"/>
        <w:autoSpaceDE/>
        <w:autoSpaceDN/>
        <w:bidi w:val="0"/>
        <w:outlineLvl w:val="9"/>
        <w:rPr>
          <w:rFonts w:hint="eastAsia" w:ascii="宋体" w:hAnsi="宋体" w:eastAsia="宋体" w:cs="宋体"/>
          <w:b w:val="0"/>
          <w:bCs w:val="0"/>
          <w:kern w:val="0"/>
          <w:sz w:val="28"/>
          <w:szCs w:val="28"/>
          <w:lang w:val="en-US" w:eastAsia="zh-CN"/>
        </w:rPr>
      </w:pPr>
    </w:p>
    <w:p w14:paraId="35503D1E">
      <w:pPr>
        <w:pStyle w:val="2"/>
      </w:pPr>
    </w:p>
    <w:p w14:paraId="163D0BCA"/>
    <w:p w14:paraId="3203C1D6"/>
    <w:sectPr>
      <w:footerReference r:id="rId4"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FE6EAD-05E4-4270-BCBB-1B9F4691CB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062D04-75DE-4131-ABFD-0BB2B5D2DB3C}"/>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67055853-7E22-4342-82D1-CC06272EC072}"/>
  </w:font>
  <w:font w:name="仿宋">
    <w:panose1 w:val="02010609060101010101"/>
    <w:charset w:val="86"/>
    <w:family w:val="modern"/>
    <w:pitch w:val="default"/>
    <w:sig w:usb0="800002BF" w:usb1="38CF7CFA" w:usb2="00000016" w:usb3="00000000" w:csb0="00040001" w:csb1="00000000"/>
    <w:embedRegular r:id="rId4" w:fontKey="{C474BA52-4A73-4FF7-B789-9E1854210F49}"/>
  </w:font>
  <w:font w:name="Helvetica">
    <w:altName w:val="Arial"/>
    <w:panose1 w:val="020B0604020202020204"/>
    <w:charset w:val="00"/>
    <w:family w:val="swiss"/>
    <w:pitch w:val="default"/>
    <w:sig w:usb0="00000000" w:usb1="00000000" w:usb2="00000009" w:usb3="00000000" w:csb0="000001FF" w:csb1="00000000"/>
    <w:embedRegular r:id="rId5" w:fontKey="{C2AAFB7F-8BFB-4729-BC81-8A4C8949791E}"/>
  </w:font>
  <w:font w:name="楷体">
    <w:panose1 w:val="02010609060101010101"/>
    <w:charset w:val="86"/>
    <w:family w:val="modern"/>
    <w:pitch w:val="default"/>
    <w:sig w:usb0="800002BF" w:usb1="38CF7CFA" w:usb2="00000016" w:usb3="00000000" w:csb0="00040001" w:csb1="00000000"/>
    <w:embedRegular r:id="rId6" w:fontKey="{0BD6DB77-D79C-4A13-B6E5-A1616D20A406}"/>
  </w:font>
  <w:font w:name="仿宋_GB2312">
    <w:altName w:val="仿宋"/>
    <w:panose1 w:val="02010609030101010101"/>
    <w:charset w:val="86"/>
    <w:family w:val="auto"/>
    <w:pitch w:val="default"/>
    <w:sig w:usb0="00000000" w:usb1="00000000" w:usb2="00000000" w:usb3="00000000" w:csb0="00040000" w:csb1="00000000"/>
    <w:embedRegular r:id="rId7" w:fontKey="{64DA3FDA-D725-4320-B3F9-C66AF9CF7B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D36A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DDEE9">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BDDEE9">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156B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F4BC6">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0F4BC6">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9A0EE"/>
    <w:multiLevelType w:val="multilevel"/>
    <w:tmpl w:val="6E29A0EE"/>
    <w:lvl w:ilvl="0" w:tentative="0">
      <w:start w:val="1"/>
      <w:numFmt w:val="chineseCounting"/>
      <w:lvlText w:val="第%1章 "/>
      <w:lvlJc w:val="left"/>
      <w:pPr>
        <w:ind w:left="432" w:hanging="432"/>
      </w:pPr>
      <w:rPr>
        <w:rFonts w:hint="eastAsia" w:ascii="宋体" w:hAnsi="宋体" w:eastAsia="微软雅黑" w:cs="微软雅黑"/>
      </w:rPr>
    </w:lvl>
    <w:lvl w:ilvl="1" w:tentative="0">
      <w:start w:val="1"/>
      <w:numFmt w:val="decimal"/>
      <w:isLgl/>
      <w:lvlText w:val="%1.%2 "/>
      <w:lvlJc w:val="left"/>
      <w:pPr>
        <w:ind w:left="576" w:hanging="576"/>
      </w:pPr>
      <w:rPr>
        <w:rFonts w:hint="eastAsia" w:ascii="微软雅黑" w:hAnsi="微软雅黑" w:eastAsia="微软雅黑" w:cs="宋体"/>
      </w:rPr>
    </w:lvl>
    <w:lvl w:ilvl="2" w:tentative="0">
      <w:start w:val="1"/>
      <w:numFmt w:val="decimal"/>
      <w:pStyle w:val="3"/>
      <w:isLgl/>
      <w:lvlText w:val="%1.%2.%3 "/>
      <w:lvlJc w:val="left"/>
      <w:pPr>
        <w:ind w:left="930" w:hanging="720"/>
      </w:pPr>
      <w:rPr>
        <w:rFonts w:hint="eastAsia" w:ascii="微软雅黑" w:hAnsi="微软雅黑" w:eastAsia="微软雅黑" w:cs="微软雅黑"/>
      </w:rPr>
    </w:lvl>
    <w:lvl w:ilvl="3" w:tentative="0">
      <w:start w:val="1"/>
      <w:numFmt w:val="decimal"/>
      <w:lvlText w:val="%4."/>
      <w:lvlJc w:val="left"/>
      <w:pPr>
        <w:ind w:left="864" w:hanging="864"/>
      </w:pPr>
      <w:rPr>
        <w:rFonts w:hint="eastAsia" w:ascii="微软雅黑" w:hAnsi="微软雅黑" w:eastAsia="微软雅黑"/>
      </w:rPr>
    </w:lvl>
    <w:lvl w:ilvl="4" w:tentative="0">
      <w:start w:val="1"/>
      <w:numFmt w:val="none"/>
      <w:lvlText w:val="（%5）"/>
      <w:lvlJc w:val="left"/>
      <w:pPr>
        <w:ind w:left="1008" w:hanging="1008"/>
      </w:pPr>
      <w:rPr>
        <w:rFonts w:hint="eastAsia" w:ascii="宋体" w:hAnsi="宋体" w:eastAsia="宋体" w:cs="宋体"/>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F1143"/>
    <w:rsid w:val="1D2F1143"/>
    <w:rsid w:val="350A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unhideWhenUsed/>
    <w:qFormat/>
    <w:uiPriority w:val="0"/>
    <w:pPr>
      <w:numPr>
        <w:ilvl w:val="2"/>
        <w:numId w:val="1"/>
      </w:numPr>
      <w:tabs>
        <w:tab w:val="left" w:pos="420"/>
      </w:tabs>
      <w:spacing w:before="50" w:beforeLines="50" w:after="50" w:afterLines="50" w:line="360" w:lineRule="auto"/>
      <w:jc w:val="left"/>
      <w:outlineLvl w:val="2"/>
    </w:pPr>
    <w:rPr>
      <w:rFonts w:cs="Times New Roman"/>
      <w:b/>
      <w:color w:val="000000"/>
      <w:kern w:val="44"/>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widowControl/>
      <w:adjustRightInd w:val="0"/>
      <w:spacing w:line="360" w:lineRule="atLeast"/>
      <w:ind w:left="2940"/>
      <w:jc w:val="left"/>
      <w:textAlignment w:val="baseline"/>
    </w:pPr>
    <w:rPr>
      <w:rFonts w:cs="Calibri"/>
      <w:kern w:val="0"/>
      <w:sz w:val="24"/>
      <w:szCs w:val="20"/>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customStyle="1" w:styleId="10">
    <w:name w:val="公文标题"/>
    <w:basedOn w:val="1"/>
    <w:qFormat/>
    <w:uiPriority w:val="0"/>
    <w:pPr>
      <w:spacing w:line="560" w:lineRule="exact"/>
      <w:jc w:val="center"/>
    </w:pPr>
    <w:rPr>
      <w:rFonts w:ascii="方正小标宋简体" w:hAnsi="Times New Roman" w:eastAsia="方正小标宋简体" w:cs="Times New Roman"/>
      <w:sz w:val="44"/>
      <w:szCs w:val="21"/>
    </w:rPr>
  </w:style>
  <w:style w:type="paragraph" w:customStyle="1" w:styleId="11">
    <w:name w:val="Plain Text1"/>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2026-03-09T02:22:00Z</dcterms:created>
  <dc:creator>忆</dc:creator>
  <cp:lastModifiedBy>忆</cp:lastModifiedBy>
  <dcterms:modified xsi:type="dcterms:W3CDTF">2026-03-09T02:25:25Z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75BBC7434C9740878BF30C8EF6C02429_13</vt:lpwstr>
  </property>
  <property fmtid="{D5CDD505-2E9C-101B-9397-08002B2CF9AE}" pid="4" name="KSOTemplateDocerSaveRecord">
    <vt:lpwstr>eyJoZGlkIjoiNjYxMTE5YzBmYzdmYzE3MWIwMzA3MmQyOGQxNDVlMGYiLCJ1c2VySWQiOiI2MDQ5Mjc0NTcifQ==</vt:lpwstr>
  </property>
</Properties>
</file>